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6E1BDE" w:rsidRDefault="00244DD3">
      <w:pPr>
        <w:numPr>
          <w:ilvl w:val="0"/>
          <w:numId w:val="0"/>
        </w:numPr>
        <w:spacing w:after="0" w:line="240" w:lineRule="auto"/>
        <w:jc w:val="left"/>
        <w:rPr>
          <w:lang w:val="en-US"/>
        </w:rPr>
      </w:pPr>
      <w:r>
        <w:rPr>
          <w:noProof/>
          <w:lang w:eastAsia="en-GB"/>
        </w:rPr>
        <mc:AlternateContent>
          <mc:Choice Requires="wps">
            <w:drawing>
              <wp:anchor distT="0" distB="0" distL="114300" distR="114300" simplePos="0" relativeHeight="251657215" behindDoc="0" locked="0" layoutInCell="1" allowOverlap="1">
                <wp:simplePos x="0" y="0"/>
                <wp:positionH relativeFrom="margin">
                  <wp:posOffset>-638175</wp:posOffset>
                </wp:positionH>
                <wp:positionV relativeFrom="paragraph">
                  <wp:posOffset>-352425</wp:posOffset>
                </wp:positionV>
                <wp:extent cx="6387465" cy="7391400"/>
                <wp:effectExtent l="0" t="0" r="0" b="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7465" cy="7391400"/>
                        </a:xfrm>
                        <a:prstGeom prst="rect">
                          <a:avLst/>
                        </a:prstGeom>
                        <a:noFill/>
                        <a:ln>
                          <a:noFill/>
                        </a:ln>
                        <a:extLst>
                          <a:ext uri="{909E8E84-426E-40dd-AFC4-6F175D3DCCD1}">
                            <a14:hiddenFill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
                              <a:solidFill>
                                <a:srgbClr val="FFFFFF"/>
                              </a:solidFill>
                            </a14:hiddenFill>
                          </a:ex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 w="9525">
                              <a:solidFill>
                                <a:srgbClr val="000000"/>
                              </a:solidFill>
                              <a:miter lim="800000"/>
                              <a:headEnd/>
                              <a:tailEnd/>
                            </a14:hiddenLine>
                          </a:ext>
                        </a:extLst>
                      </wps:spPr>
                      <wps:txbx>
                        <w:txbxContent>
                          <w:p w:rsidR="006E1BDE" w:rsidRDefault="006E1BDE">
                            <w:pPr>
                              <w:numPr>
                                <w:ilvl w:val="0"/>
                                <w:numId w:val="0"/>
                              </w:numPr>
                              <w:jc w:val="left"/>
                              <w:rPr>
                                <w:rFonts w:eastAsia="Arial"/>
                                <w:b/>
                                <w:bCs/>
                                <w:kern w:val="24"/>
                                <w:sz w:val="36"/>
                                <w:szCs w:val="36"/>
                                <w:lang w:val="en-US"/>
                              </w:rPr>
                            </w:pPr>
                          </w:p>
                          <w:p w:rsidR="006E1BDE" w:rsidRDefault="00244DD3">
                            <w:pPr>
                              <w:jc w:val="center"/>
                              <w:rPr>
                                <w:rFonts w:eastAsia="Arial"/>
                                <w:b/>
                                <w:bCs/>
                                <w:kern w:val="24"/>
                                <w:sz w:val="40"/>
                                <w:szCs w:val="36"/>
                                <w:lang w:val="en-US"/>
                              </w:rPr>
                            </w:pPr>
                            <w:r>
                              <w:rPr>
                                <w:rFonts w:eastAsia="Arial"/>
                                <w:b/>
                                <w:bCs/>
                                <w:kern w:val="24"/>
                                <w:sz w:val="40"/>
                                <w:szCs w:val="36"/>
                                <w:lang w:val="en-US"/>
                              </w:rPr>
                              <w:t>Advanced Biofuels in India:</w:t>
                            </w:r>
                          </w:p>
                          <w:p w:rsidR="006E1BDE" w:rsidRDefault="00244DD3">
                            <w:pPr>
                              <w:jc w:val="center"/>
                              <w:rPr>
                                <w:rFonts w:eastAsia="Arial"/>
                                <w:b/>
                                <w:bCs/>
                                <w:kern w:val="24"/>
                                <w:sz w:val="40"/>
                                <w:szCs w:val="36"/>
                                <w:lang w:val="en-US"/>
                              </w:rPr>
                            </w:pPr>
                            <w:r>
                              <w:rPr>
                                <w:rFonts w:eastAsia="Arial"/>
                                <w:b/>
                                <w:bCs/>
                                <w:kern w:val="24"/>
                                <w:sz w:val="40"/>
                                <w:szCs w:val="36"/>
                                <w:lang w:val="en-US"/>
                              </w:rPr>
                              <w:t>A comparative analysis between India and the EU for cooperation and investment</w:t>
                            </w:r>
                          </w:p>
                          <w:p w:rsidR="006E1BDE" w:rsidRDefault="006E1BDE">
                            <w:pPr>
                              <w:spacing w:after="0"/>
                              <w:rPr>
                                <w:rFonts w:cstheme="majorHAnsi"/>
                                <w:b/>
                                <w:color w:val="166CED" w:themeColor="accent1"/>
                                <w:sz w:val="32"/>
                                <w:szCs w:val="40"/>
                              </w:rPr>
                            </w:pPr>
                          </w:p>
                          <w:p w:rsidR="006E1BDE" w:rsidRDefault="00244DD3">
                            <w:pPr>
                              <w:spacing w:after="0"/>
                              <w:jc w:val="center"/>
                              <w:rPr>
                                <w:rFonts w:cstheme="majorHAnsi"/>
                                <w:b/>
                                <w:color w:val="166CED" w:themeColor="accent1"/>
                                <w:sz w:val="36"/>
                                <w:szCs w:val="40"/>
                              </w:rPr>
                            </w:pPr>
                            <w:r>
                              <w:rPr>
                                <w:rFonts w:eastAsia="Arial" w:cs="Arial"/>
                                <w:bCs/>
                                <w:color w:val="000000" w:themeColor="text1"/>
                                <w:kern w:val="24"/>
                                <w:sz w:val="28"/>
                                <w:szCs w:val="28"/>
                              </w:rPr>
                              <w:br/>
                            </w:r>
                            <w:r>
                              <w:rPr>
                                <w:rFonts w:cstheme="majorHAnsi"/>
                                <w:b/>
                                <w:color w:val="166CED" w:themeColor="accent1"/>
                                <w:sz w:val="36"/>
                                <w:szCs w:val="40"/>
                              </w:rPr>
                              <w:t>Radhika Singh</w:t>
                            </w:r>
                          </w:p>
                          <w:p w:rsidR="006E1BDE" w:rsidRDefault="00244DD3">
                            <w:pPr>
                              <w:spacing w:after="0"/>
                              <w:jc w:val="center"/>
                              <w:rPr>
                                <w:rFonts w:cstheme="majorHAnsi"/>
                                <w:b/>
                                <w:color w:val="166CED" w:themeColor="accent1"/>
                                <w:sz w:val="36"/>
                                <w:szCs w:val="40"/>
                              </w:rPr>
                            </w:pPr>
                            <w:r>
                              <w:rPr>
                                <w:rFonts w:cstheme="majorHAnsi"/>
                                <w:b/>
                                <w:color w:val="166CED" w:themeColor="accent1"/>
                                <w:sz w:val="36"/>
                                <w:szCs w:val="40"/>
                              </w:rPr>
                              <w:t>Stamatis Kalligeros</w:t>
                            </w:r>
                          </w:p>
                          <w:p w:rsidR="006E1BDE" w:rsidRDefault="00244DD3">
                            <w:pPr>
                              <w:spacing w:after="0"/>
                              <w:jc w:val="center"/>
                              <w:rPr>
                                <w:rFonts w:cstheme="majorHAnsi"/>
                                <w:b/>
                                <w:color w:val="166CED" w:themeColor="accent1"/>
                                <w:sz w:val="36"/>
                                <w:szCs w:val="40"/>
                              </w:rPr>
                            </w:pPr>
                            <w:r>
                              <w:rPr>
                                <w:rFonts w:cstheme="majorHAnsi"/>
                                <w:b/>
                                <w:color w:val="166CED" w:themeColor="accent1"/>
                                <w:sz w:val="36"/>
                                <w:szCs w:val="40"/>
                              </w:rPr>
                              <w:t>Jai Uppal</w:t>
                            </w:r>
                          </w:p>
                          <w:p w:rsidR="006E1BDE" w:rsidRDefault="006E1BDE">
                            <w:pPr>
                              <w:spacing w:after="0"/>
                            </w:pPr>
                          </w:p>
                          <w:p w:rsidR="006E1BDE" w:rsidRDefault="006E1BDE">
                            <w:pPr>
                              <w:spacing w:after="0"/>
                            </w:pPr>
                          </w:p>
                          <w:p w:rsidR="006E1BDE" w:rsidRDefault="006E1BDE">
                            <w:pPr>
                              <w:numPr>
                                <w:ilvl w:val="0"/>
                                <w:numId w:val="0"/>
                              </w:numPr>
                              <w:jc w:val="left"/>
                              <w:rPr>
                                <w:sz w:val="40"/>
                                <w:szCs w:val="40"/>
                                <w:lang w:val="en-US"/>
                              </w:rPr>
                            </w:pPr>
                          </w:p>
                          <w:p w:rsidR="006E1BDE" w:rsidRDefault="006E1BDE">
                            <w:pPr>
                              <w:numPr>
                                <w:ilvl w:val="0"/>
                                <w:numId w:val="0"/>
                              </w:numPr>
                              <w:jc w:val="left"/>
                              <w:rPr>
                                <w:sz w:val="40"/>
                                <w:szCs w:val="40"/>
                                <w:lang w:val="en-US"/>
                              </w:rPr>
                            </w:pPr>
                          </w:p>
                          <w:p w:rsidR="006E1BDE" w:rsidRDefault="006E1BDE">
                            <w:pPr>
                              <w:numPr>
                                <w:ilvl w:val="0"/>
                                <w:numId w:val="0"/>
                              </w:numPr>
                              <w:jc w:val="left"/>
                              <w:rPr>
                                <w:sz w:val="40"/>
                                <w:szCs w:val="40"/>
                                <w:lang w:val="en-US"/>
                              </w:rPr>
                            </w:pPr>
                          </w:p>
                          <w:p w:rsidR="006E1BDE" w:rsidRDefault="006E1BDE">
                            <w:pPr>
                              <w:numPr>
                                <w:ilvl w:val="0"/>
                                <w:numId w:val="0"/>
                              </w:numPr>
                              <w:jc w:val="left"/>
                              <w:rPr>
                                <w:sz w:val="40"/>
                                <w:szCs w:val="40"/>
                                <w:lang w:val="en-US"/>
                              </w:rPr>
                            </w:pPr>
                          </w:p>
                          <w:p w:rsidR="006E1BDE" w:rsidRDefault="006E1BDE">
                            <w:pPr>
                              <w:numPr>
                                <w:ilvl w:val="0"/>
                                <w:numId w:val="0"/>
                              </w:numPr>
                              <w:jc w:val="left"/>
                              <w:rPr>
                                <w:sz w:val="40"/>
                                <w:szCs w:val="40"/>
                                <w:lang w:val="en-US"/>
                              </w:rPr>
                            </w:pPr>
                          </w:p>
                          <w:p w:rsidR="006E1BDE" w:rsidRDefault="00244DD3">
                            <w:pPr>
                              <w:numPr>
                                <w:ilvl w:val="0"/>
                                <w:numId w:val="0"/>
                              </w:numPr>
                              <w:jc w:val="left"/>
                              <w:rPr>
                                <w:sz w:val="40"/>
                                <w:szCs w:val="40"/>
                                <w:lang w:val="en-US"/>
                              </w:rPr>
                            </w:pPr>
                            <w:r>
                              <w:rPr>
                                <w:sz w:val="40"/>
                                <w:szCs w:val="40"/>
                                <w:lang w:val="en-US"/>
                              </w:rPr>
                              <w:t>June 2018</w:t>
                            </w:r>
                          </w:p>
                          <w:p w:rsidR="006E1BDE" w:rsidRDefault="00244DD3">
                            <w:pPr>
                              <w:jc w:val="left"/>
                              <w:rPr>
                                <w:sz w:val="40"/>
                                <w:szCs w:val="40"/>
                                <w:lang w:val="en-US"/>
                              </w:rPr>
                            </w:pPr>
                            <w:r>
                              <w:rPr>
                                <w:rFonts w:cstheme="majorHAnsi"/>
                                <w:b/>
                                <w:color w:val="166CED" w:themeColor="accent1"/>
                                <w:sz w:val="40"/>
                                <w:szCs w:val="40"/>
                              </w:rPr>
                              <w:t xml:space="preserve">ART-Fuels Forum </w:t>
                            </w:r>
                            <w:r>
                              <w:rPr>
                                <w:rFonts w:cstheme="majorHAnsi"/>
                                <w:b/>
                                <w:color w:val="166CED" w:themeColor="accent1"/>
                                <w:sz w:val="40"/>
                                <w:szCs w:val="40"/>
                              </w:rPr>
                              <w:br/>
                              <w:t>(Alternative Renewable Transportation Fuels)</w:t>
                            </w:r>
                          </w:p>
                          <w:p w:rsidR="006E1BDE" w:rsidRDefault="006E1BDE">
                            <w:pPr>
                              <w:numPr>
                                <w:ilvl w:val="0"/>
                                <w:numId w:val="0"/>
                              </w:numPr>
                              <w:jc w:val="left"/>
                              <w:rPr>
                                <w:rFonts w:cstheme="majorHAnsi"/>
                                <w:b/>
                                <w:color w:val="166CED" w:themeColor="accent1"/>
                                <w:sz w:val="40"/>
                                <w:szCs w:val="40"/>
                              </w:rPr>
                            </w:pPr>
                          </w:p>
                        </w:txbxContent>
                      </wps:txbx>
                      <wps:bodyPr rot="0" vert="horz" wrap="square" lIns="91423" tIns="45713" rIns="91423" bIns="45713" anchor="t" anchorCtr="0" upright="1">
                        <a:noAutofit/>
                      </wps:bodyPr>
                    </wps:wsp>
                  </a:graphicData>
                </a:graphic>
                <wp14:sizeRelH relativeFrom="margin">
                  <wp14:pctWidth>0</wp14:pctWidth>
                </wp14:sizeRelH>
                <wp14:sizeRelV relativeFrom="margin">
                  <wp14:pctHeight>0</wp14:pctHeight>
                </wp14:sizeRelV>
              </wp:anchor>
            </w:drawing>
          </mc:Choice>
          <mc:Fallback xmlns:pic="http://schemas.openxmlformats.org/drawingml/2006/picture" xmlns:mo="http://schemas.microsoft.com/office/mac/office/2008/main" xmlns:mv="urn:schemas-microsoft-com:mac:vml" xmlns:a14="http://schemas.microsoft.com/office/drawing/2010/main" xmlns:a="http://schemas.openxmlformats.org/drawingml/2006/main">
            <w:pict>
              <v:shapetype id="_x0000_t202" coordsize="21600,21600" o:spt="202" path="m,l,21600r21600,l21600,xe">
                <v:stroke joinstyle="miter"/>
                <v:path gradientshapeok="t" o:connecttype="rect"/>
              </v:shapetype>
              <v:shape id="Text Box 38" style="position:absolute;margin-left:-50.25pt;margin-top:-27.75pt;width:502.95pt;height:582pt;z-index:25165721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lt=""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">
                <v:textbox inset="2.53953mm,1.2698mm,2.53953mm,1.2698mm">
                  <w:txbxContent>
                    <w:p>
                      <w:pPr>
                        <w:numPr>
                          <w:ilvl w:val="0"/>
                          <w:numId w:val="0"/>
                        </w:numPr>
                        <w:jc w:val="left"/>
                        <w:rPr>
                          <w:rFonts w:eastAsia="Arial"/>
                          <w:b/>
                          <w:bCs/>
                          <w:kern w:val="24"/>
                          <w:sz w:val="36"/>
                          <w:szCs w:val="36"/>
                          <w:lang w:val="en-US"/>
                        </w:rPr>
                      </w:pPr>
                    </w:p>
                    <w:p>
                      <w:pPr>
                        <w:jc w:val="center"/>
                        <w:rPr>
                          <w:rFonts w:eastAsia="Arial"/>
                          <w:b/>
                          <w:bCs/>
                          <w:kern w:val="24"/>
                          <w:sz w:val="40"/>
                          <w:szCs w:val="36"/>
                          <w:lang w:val="en-US"/>
                        </w:rPr>
                      </w:pPr>
                      <w:r>
                        <w:rPr>
                          <w:rFonts w:eastAsia="Arial"/>
                          <w:b/>
                          <w:bCs/>
                          <w:kern w:val="24"/>
                          <w:sz w:val="40"/>
                          <w:szCs w:val="36"/>
                          <w:lang w:val="en-US"/>
                        </w:rPr>
                        <w:t>Advanced Biofuels in India:</w:t>
                      </w:r>
                    </w:p>
                    <w:p>
                      <w:pPr>
                        <w:jc w:val="center"/>
                        <w:rPr>
                          <w:rFonts w:eastAsia="Arial"/>
                          <w:b/>
                          <w:bCs/>
                          <w:kern w:val="24"/>
                          <w:sz w:val="40"/>
                          <w:szCs w:val="36"/>
                          <w:lang w:val="en-US"/>
                        </w:rPr>
                      </w:pPr>
                      <w:r>
                        <w:rPr>
                          <w:rFonts w:eastAsia="Arial"/>
                          <w:b/>
                          <w:bCs/>
                          <w:kern w:val="24"/>
                          <w:sz w:val="40"/>
                          <w:szCs w:val="36"/>
                          <w:lang w:val="en-US"/>
                        </w:rPr>
                        <w:t>A comparative analysis between India and the EU for cooperation and investment</w:t>
                      </w:r>
                    </w:p>
                    <w:p>
                      <w:pPr>
                        <w:spacing w:after="0"/>
                        <w:rPr>
                          <w:rFonts w:cstheme="majorHAnsi"/>
                          <w:b/>
                          <w:color w:val="166CED" w:themeColor="accent1"/>
                          <w:sz w:val="32"/>
                          <w:szCs w:val="40"/>
                        </w:rPr>
                      </w:pPr>
                    </w:p>
                    <w:p>
                      <w:pPr>
                        <w:spacing w:after="0"/>
                        <w:jc w:val="center"/>
                        <w:rPr>
                          <w:rFonts w:cstheme="majorHAnsi"/>
                          <w:b/>
                          <w:color w:val="166CED" w:themeColor="accent1"/>
                          <w:sz w:val="36"/>
                          <w:szCs w:val="40"/>
                        </w:rPr>
                      </w:pPr>
                      <w:r>
                        <w:rPr>
                          <w:rFonts w:eastAsia="Arial" w:cs="Arial"/>
                          <w:bCs/>
                          <w:color w:val="000000" w:themeColor="text1"/>
                          <w:kern w:val="24"/>
                          <w:sz w:val="28"/>
                          <w:szCs w:val="28"/>
                        </w:rPr>
                        <w:br/>
                      </w:r>
                      <w:r>
                        <w:rPr>
                          <w:rFonts w:cstheme="majorHAnsi"/>
                          <w:b/>
                          <w:color w:val="166CED" w:themeColor="accent1"/>
                          <w:sz w:val="36"/>
                          <w:szCs w:val="40"/>
                        </w:rPr>
                        <w:t>Radhika Singh</w:t>
                      </w:r>
                    </w:p>
                    <w:p>
                      <w:pPr>
                        <w:spacing w:after="0"/>
                        <w:jc w:val="center"/>
                        <w:rPr>
                          <w:rFonts w:cstheme="majorHAnsi"/>
                          <w:b/>
                          <w:color w:val="166CED" w:themeColor="accent1"/>
                          <w:sz w:val="36"/>
                          <w:szCs w:val="40"/>
                        </w:rPr>
                      </w:pPr>
                      <w:r>
                        <w:rPr>
                          <w:rFonts w:cstheme="majorHAnsi"/>
                          <w:b/>
                          <w:color w:val="166CED" w:themeColor="accent1"/>
                          <w:sz w:val="36"/>
                          <w:szCs w:val="40"/>
                        </w:rPr>
                        <w:t>Stamatis Kalligeros</w:t>
                      </w:r>
                    </w:p>
                    <w:p>
                      <w:pPr>
                        <w:spacing w:after="0"/>
                        <w:jc w:val="center"/>
                        <w:rPr>
                          <w:rFonts w:cstheme="majorHAnsi"/>
                          <w:b/>
                          <w:color w:val="166CED" w:themeColor="accent1"/>
                          <w:sz w:val="36"/>
                          <w:szCs w:val="40"/>
                        </w:rPr>
                      </w:pPr>
                      <w:r>
                        <w:rPr>
                          <w:rFonts w:cstheme="majorHAnsi"/>
                          <w:b/>
                          <w:color w:val="166CED" w:themeColor="accent1"/>
                          <w:sz w:val="36"/>
                          <w:szCs w:val="40"/>
                        </w:rPr>
                        <w:t>Jai Uppal</w:t>
                      </w:r>
                    </w:p>
                    <w:p>
                      <w:pPr>
                        <w:spacing w:after="0"/>
                      </w:pPr>
                    </w:p>
                    <w:p>
                      <w:pPr>
                        <w:spacing w:after="0"/>
                      </w:pPr>
                    </w:p>
                    <w:p>
                      <w:pPr>
                        <w:numPr>
                          <w:ilvl w:val="0"/>
                          <w:numId w:val="0"/>
                        </w:numPr>
                        <w:jc w:val="left"/>
                        <w:rPr>
                          <w:sz w:val="40"/>
                          <w:szCs w:val="40"/>
                          <w:lang w:val="en-US"/>
                        </w:rPr>
                      </w:pPr>
                    </w:p>
                    <w:p>
                      <w:pPr>
                        <w:numPr>
                          <w:ilvl w:val="0"/>
                          <w:numId w:val="0"/>
                        </w:numPr>
                        <w:jc w:val="left"/>
                        <w:rPr>
                          <w:sz w:val="40"/>
                          <w:szCs w:val="40"/>
                          <w:lang w:val="en-US"/>
                        </w:rPr>
                      </w:pPr>
                    </w:p>
                    <w:p>
                      <w:pPr>
                        <w:numPr>
                          <w:ilvl w:val="0"/>
                          <w:numId w:val="0"/>
                        </w:numPr>
                        <w:jc w:val="left"/>
                        <w:rPr>
                          <w:sz w:val="40"/>
                          <w:szCs w:val="40"/>
                          <w:lang w:val="en-US"/>
                        </w:rPr>
                      </w:pPr>
                    </w:p>
                    <w:p>
                      <w:pPr>
                        <w:numPr>
                          <w:ilvl w:val="0"/>
                          <w:numId w:val="0"/>
                        </w:numPr>
                        <w:jc w:val="left"/>
                        <w:rPr>
                          <w:sz w:val="40"/>
                          <w:szCs w:val="40"/>
                          <w:lang w:val="en-US"/>
                        </w:rPr>
                      </w:pPr>
                    </w:p>
                    <w:p>
                      <w:pPr>
                        <w:numPr>
                          <w:ilvl w:val="0"/>
                          <w:numId w:val="0"/>
                        </w:numPr>
                        <w:jc w:val="left"/>
                        <w:rPr>
                          <w:sz w:val="40"/>
                          <w:szCs w:val="40"/>
                          <w:lang w:val="en-US"/>
                        </w:rPr>
                      </w:pPr>
                    </w:p>
                    <w:p>
                      <w:pPr>
                        <w:numPr>
                          <w:ilvl w:val="0"/>
                          <w:numId w:val="0"/>
                        </w:numPr>
                        <w:jc w:val="left"/>
                        <w:rPr>
                          <w:sz w:val="40"/>
                          <w:szCs w:val="40"/>
                          <w:lang w:val="en-US"/>
                        </w:rPr>
                      </w:pPr>
                      <w:r>
                        <w:rPr>
                          <w:sz w:val="40"/>
                          <w:szCs w:val="40"/>
                          <w:lang w:val="en-US"/>
                        </w:rPr>
                        <w:t>June 2018</w:t>
                      </w:r>
                    </w:p>
                    <w:p>
                      <w:pPr>
                        <w:jc w:val="left"/>
                        <w:rPr>
                          <w:sz w:val="40"/>
                          <w:szCs w:val="40"/>
                          <w:lang w:val="en-US"/>
                        </w:rPr>
                      </w:pPr>
                      <w:r>
                        <w:rPr>
                          <w:rFonts w:cstheme="majorHAnsi"/>
                          <w:b/>
                          <w:color w:val="166CED" w:themeColor="accent1"/>
                          <w:sz w:val="40"/>
                          <w:szCs w:val="40"/>
                        </w:rPr>
                        <w:t xml:space="preserve">ART-Fuels Forum </w:t>
                      </w:r>
                      <w:r>
                        <w:rPr>
                          <w:rFonts w:cstheme="majorHAnsi"/>
                          <w:b/>
                          <w:color w:val="166CED" w:themeColor="accent1"/>
                          <w:sz w:val="40"/>
                          <w:szCs w:val="40"/>
                        </w:rPr>
                        <w:br/>
                        <w:t>(Alternative Renewable Transportation Fuels)</w:t>
                      </w:r>
                    </w:p>
                    <w:p>
                      <w:pPr>
                        <w:numPr>
                          <w:ilvl w:val="0"/>
                          <w:numId w:val="0"/>
                        </w:numPr>
                        <w:jc w:val="left"/>
                        <w:rPr>
                          <w:rFonts w:cstheme="majorHAnsi"/>
                          <w:b/>
                          <w:color w:val="166CED" w:themeColor="accent1"/>
                          <w:sz w:val="40"/>
                          <w:szCs w:val="40"/>
                        </w:rPr>
                      </w:pPr>
                    </w:p>
                  </w:txbxContent>
                </v:textbox>
                <w10:wrap anchorx="margin"/>
              </v:shape>
            </w:pict>
          </mc:Fallback>
        </mc:AlternateContent>
      </w:r>
    </w:p>
    <w:p w:rsidR="006E1BDE" w:rsidRDefault="006E1BDE">
      <w:pPr>
        <w:numPr>
          <w:ilvl w:val="0"/>
          <w:numId w:val="0"/>
        </w:numPr>
        <w:spacing w:after="0" w:line="240" w:lineRule="auto"/>
        <w:jc w:val="left"/>
      </w:pPr>
    </w:p>
    <w:p w:rsidR="006E1BDE" w:rsidRDefault="006E1BDE">
      <w:pPr>
        <w:numPr>
          <w:ilvl w:val="0"/>
          <w:numId w:val="0"/>
        </w:numPr>
        <w:spacing w:after="0" w:line="240" w:lineRule="auto"/>
        <w:jc w:val="left"/>
      </w:pPr>
    </w:p>
    <w:p w:rsidR="006E1BDE" w:rsidRDefault="00244DD3">
      <w:pPr>
        <w:numPr>
          <w:ilvl w:val="0"/>
          <w:numId w:val="0"/>
        </w:numPr>
        <w:spacing w:after="0" w:line="240" w:lineRule="auto"/>
        <w:jc w:val="left"/>
        <w:rPr>
          <w:rFonts w:eastAsiaTheme="majorEastAsia" w:cstheme="majorBidi"/>
          <w:b/>
          <w:bCs/>
          <w:caps/>
          <w:color w:val="1C7EF9"/>
          <w:sz w:val="36"/>
          <w:szCs w:val="28"/>
        </w:rPr>
      </w:pPr>
      <w:r>
        <w:rPr>
          <w:noProof/>
          <w:lang w:eastAsia="en-GB"/>
        </w:rPr>
        <w:drawing>
          <wp:anchor distT="0" distB="0" distL="114300" distR="114300" simplePos="0" relativeHeight="251664384" behindDoc="1" locked="0" layoutInCell="1" allowOverlap="1">
            <wp:simplePos x="0" y="0"/>
            <wp:positionH relativeFrom="column">
              <wp:posOffset>3288030</wp:posOffset>
            </wp:positionH>
            <wp:positionV relativeFrom="paragraph">
              <wp:posOffset>4513580</wp:posOffset>
            </wp:positionV>
            <wp:extent cx="2304288" cy="1295400"/>
            <wp:effectExtent l="0" t="0" r="127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Logo ART Fuels (CMYK).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2304288" cy="1295400"/>
                    </a:xfrm>
                    <a:prstGeom prst="rect">
                      <a:avLst/>
                    </a:prstGeom>
                  </pic:spPr>
                </pic:pic>
              </a:graphicData>
            </a:graphic>
          </wp:anchor>
        </w:drawing>
      </w:r>
      <w:r>
        <w:rPr>
          <w:noProof/>
          <w:lang w:eastAsia="en-GB"/>
        </w:rPr>
        <mc:AlternateContent>
          <mc:Choice Requires="wps">
            <w:drawing>
              <wp:anchor distT="0" distB="0" distL="114300" distR="114300" simplePos="0" relativeHeight="251658240" behindDoc="0" locked="0" layoutInCell="1" allowOverlap="1">
                <wp:simplePos x="0" y="0"/>
                <wp:positionH relativeFrom="margin">
                  <wp:posOffset>-1123950</wp:posOffset>
                </wp:positionH>
                <wp:positionV relativeFrom="paragraph">
                  <wp:posOffset>6606540</wp:posOffset>
                </wp:positionV>
                <wp:extent cx="7534275" cy="1426845"/>
                <wp:effectExtent l="0" t="0" r="0" b="2540"/>
                <wp:wrapNone/>
                <wp:docPr id="36"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4275" cy="1426845"/>
                        </a:xfrm>
                        <a:prstGeom prst="rect">
                          <a:avLst/>
                        </a:prstGeom>
                        <a:blipFill dpi="0" rotWithShape="1">
                          <a:blip r:embed="rId8"/>
                          <a:srcRect/>
                          <a:stretch>
                            <a:fillRect/>
                          </a:stretch>
                        </a:blipFill>
                        <a:ln>
                          <a:noFill/>
                        </a:ln>
                        <a:extLst>
                          <a:ext uri="{91240B29-F687-4f45-9708-019B960494DF}">
                            <a14:hiddenLine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pic="http://schemas.openxmlformats.org/drawingml/2006/picture" xmlns="" w="9525">
                              <a:solidFill>
                                <a:srgbClr val="000000"/>
                              </a:solidFill>
                              <a:miter lim="800000"/>
                              <a:headEnd/>
                              <a:tailEnd/>
                            </a14:hiddenLine>
                          </a:ext>
                        </a:extLst>
                      </wps:spPr>
                      <wps:txbx>
                        <w:txbxContent>
                          <w:p w:rsidR="006E1BDE" w:rsidRDefault="006E1BDE">
                            <w:pPr>
                              <w:ind w:left="2304"/>
                            </w:pPr>
                          </w:p>
                        </w:txbxContent>
                      </wps:txbx>
                      <wps:bodyPr rot="0" vert="horz" wrap="square" lIns="91423" tIns="45713" rIns="91423" bIns="45713" anchor="t" anchorCtr="0" upright="1">
                        <a:noAutofit/>
                      </wps:bodyPr>
                    </wps:wsp>
                  </a:graphicData>
                </a:graphic>
                <wp14:sizeRelH relativeFrom="margin">
                  <wp14:pctWidth>0</wp14:pctWidth>
                </wp14:sizeRelH>
                <wp14:sizeRelV relativeFrom="page">
                  <wp14:pctHeight>0</wp14:pctHeight>
                </wp14:sizeRelV>
              </wp:anchor>
            </w:drawing>
          </mc:Choice>
          <mc:Fallback xmlns:pic="http://schemas.openxmlformats.org/drawingml/2006/picture" xmlns:mo="http://schemas.microsoft.com/office/mac/office/2008/main" xmlns:mv="urn:schemas-microsoft-com:mac:vml" xmlns:a14="http://schemas.microsoft.com/office/drawing/2010/main" xmlns:a="http://schemas.openxmlformats.org/drawingml/2006/main">
            <w:pict>
              <v:rect id="Rectangle 36" style="position:absolute;margin-left:-88.5pt;margin-top:520.2pt;width:593.25pt;height:112.3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spid="_x0000_s1027" stroked="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">
                <v:fill type="frame" o:title="" recolor="t" rotate="t" r:id="rId10"/>
                <v:textbox inset="2.53953mm,1.2698mm,2.53953mm,1.2698mm">
                  <w:txbxContent>
                    <w:p>
                      <w:pPr>
                        <w:ind w:left="2304"/>
                      </w:pPr>
                    </w:p>
                  </w:txbxContent>
                </v:textbox>
                <w10:wrap anchorx="margin"/>
              </v:rect>
            </w:pict>
          </mc:Fallback>
        </mc:AlternateContent>
      </w:r>
      <w:r>
        <w:rPr>
          <w:rFonts w:eastAsiaTheme="majorEastAsia" w:cstheme="majorBidi"/>
          <w:bCs/>
          <w:noProof/>
          <w:color w:val="665E5A" w:themeColor="accent3"/>
          <w:sz w:val="30"/>
          <w:szCs w:val="30"/>
          <w:lang w:eastAsia="en-GB"/>
        </w:rPr>
        <w:drawing>
          <wp:anchor distT="0" distB="0" distL="114300" distR="114300" simplePos="0" relativeHeight="251661312" behindDoc="1" locked="0" layoutInCell="1" allowOverlap="1">
            <wp:simplePos x="0" y="0"/>
            <wp:positionH relativeFrom="column">
              <wp:posOffset>3790950</wp:posOffset>
            </wp:positionH>
            <wp:positionV relativeFrom="paragraph">
              <wp:posOffset>8279765</wp:posOffset>
            </wp:positionV>
            <wp:extent cx="2019300" cy="488315"/>
            <wp:effectExtent l="0" t="0" r="0" b="698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_record.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19300" cy="488315"/>
                    </a:xfrm>
                    <a:prstGeom prst="rect">
                      <a:avLst/>
                    </a:prstGeom>
                  </pic:spPr>
                </pic:pic>
              </a:graphicData>
            </a:graphic>
          </wp:anchor>
        </w:drawing>
      </w:r>
      <w:r>
        <w:rPr>
          <w:noProof/>
          <w:lang w:eastAsia="en-GB"/>
        </w:rPr>
        <w:drawing>
          <wp:anchor distT="0" distB="0" distL="114300" distR="114300" simplePos="0" relativeHeight="251660288" behindDoc="0" locked="0" layoutInCell="1" allowOverlap="1">
            <wp:simplePos x="0" y="0"/>
            <wp:positionH relativeFrom="column">
              <wp:posOffset>-638175</wp:posOffset>
            </wp:positionH>
            <wp:positionV relativeFrom="paragraph">
              <wp:posOffset>8282305</wp:posOffset>
            </wp:positionV>
            <wp:extent cx="1748790" cy="572770"/>
            <wp:effectExtent l="0" t="0" r="3810" b="0"/>
            <wp:wrapNone/>
            <wp:docPr id="35" name="Picture 30"/>
            <wp:cNvGraphicFramePr/>
            <a:graphic xmlns:a="http://schemas.openxmlformats.org/drawingml/2006/main">
              <a:graphicData uri="http://schemas.openxmlformats.org/drawingml/2006/picture">
                <pic:pic xmlns:pic="http://schemas.openxmlformats.org/drawingml/2006/picture">
                  <pic:nvPicPr>
                    <pic:cNvPr id="31" name="Picture 30"/>
                    <pic:cNvPicPr/>
                  </pic:nvPicPr>
                  <pic:blipFill>
                    <a:blip r:embed="rId12" cstate="email">
                      <a:extLst>
                        <a:ext uri="{28A0092B-C50C-407E-A947-70E740481C1C}">
                          <a14:useLocalDpi xmlns:a14="http://schemas.microsoft.com/office/drawing/2010/main"/>
                        </a:ext>
                      </a:extLst>
                    </a:blip>
                    <a:stretch>
                      <a:fillRect/>
                    </a:stretch>
                  </pic:blipFill>
                  <pic:spPr>
                    <a:xfrm>
                      <a:off x="0" y="0"/>
                      <a:ext cx="1748790" cy="572770"/>
                    </a:xfrm>
                    <a:prstGeom prst="rect">
                      <a:avLst/>
                    </a:prstGeom>
                  </pic:spPr>
                </pic:pic>
              </a:graphicData>
            </a:graphic>
          </wp:anchor>
        </w:drawing>
      </w:r>
      <w:r>
        <w:br w:type="page"/>
      </w:r>
    </w:p>
    <w:sdt>
      <w:sdtPr>
        <w:rPr>
          <w:rFonts w:eastAsiaTheme="minorHAnsi" w:cs="Times New Roman"/>
          <w:b/>
          <w:bCs w:val="0"/>
          <w:color w:val="auto"/>
          <w:sz w:val="22"/>
          <w:szCs w:val="22"/>
          <w:lang w:eastAsia="en-US"/>
        </w:rPr>
        <w:id w:val="-67953864"/>
        <w:docPartObj>
          <w:docPartGallery w:val="Table of Contents"/>
          <w:docPartUnique/>
        </w:docPartObj>
      </w:sdtPr>
      <w:sdtEndPr>
        <w:rPr>
          <w:b w:val="0"/>
        </w:rPr>
      </w:sdtEndPr>
      <w:sdtContent>
        <w:p w:rsidR="006E1BDE" w:rsidRDefault="00244DD3">
          <w:pPr>
            <w:pStyle w:val="TOCHeading"/>
            <w:spacing w:before="720"/>
            <w:rPr>
              <w:color w:val="665E5A" w:themeColor="accent3"/>
              <w:sz w:val="22"/>
              <w:szCs w:val="22"/>
            </w:rPr>
          </w:pPr>
          <w:r>
            <w:rPr>
              <w:color w:val="665E5A" w:themeColor="accent3"/>
              <w:sz w:val="22"/>
              <w:szCs w:val="22"/>
            </w:rPr>
            <w:t>Contents</w:t>
          </w:r>
        </w:p>
        <w:p w:rsidR="006E1BDE" w:rsidRDefault="00244DD3">
          <w:pPr>
            <w:pStyle w:val="TOC1"/>
            <w:rPr>
              <w:rFonts w:asciiTheme="minorHAnsi" w:eastAsiaTheme="minorEastAsia" w:hAnsiTheme="minorHAnsi" w:cstheme="minorBidi"/>
              <w:b w:val="0"/>
              <w:caps w:val="0"/>
              <w:noProof/>
              <w:color w:val="auto"/>
              <w:szCs w:val="22"/>
              <w:lang w:eastAsia="en-GB"/>
            </w:rPr>
          </w:pPr>
          <w:r>
            <w:rPr>
              <w:b w:val="0"/>
              <w:caps w:val="0"/>
              <w:szCs w:val="22"/>
            </w:rPr>
            <w:fldChar w:fldCharType="begin"/>
          </w:r>
          <w:r>
            <w:rPr>
              <w:b w:val="0"/>
              <w:caps w:val="0"/>
              <w:szCs w:val="22"/>
            </w:rPr>
            <w:instrText xml:space="preserve"> TOC \o "1-3" \h \z \t "Exr Annex,1" </w:instrText>
          </w:r>
          <w:r>
            <w:rPr>
              <w:b w:val="0"/>
              <w:caps w:val="0"/>
              <w:szCs w:val="22"/>
            </w:rPr>
            <w:fldChar w:fldCharType="separate"/>
          </w:r>
          <w:hyperlink w:anchor="_Toc516598318" w:history="1">
            <w:r>
              <w:rPr>
                <w:rStyle w:val="Hyperlink"/>
                <w:noProof/>
              </w:rPr>
              <w:t>1</w:t>
            </w:r>
            <w:r>
              <w:rPr>
                <w:rFonts w:asciiTheme="minorHAnsi" w:eastAsiaTheme="minorEastAsia" w:hAnsiTheme="minorHAnsi" w:cstheme="minorBidi"/>
                <w:b w:val="0"/>
                <w:caps w:val="0"/>
                <w:noProof/>
                <w:color w:val="auto"/>
                <w:szCs w:val="22"/>
                <w:lang w:eastAsia="en-GB"/>
              </w:rPr>
              <w:tab/>
            </w:r>
            <w:r>
              <w:rPr>
                <w:rStyle w:val="Hyperlink"/>
                <w:noProof/>
              </w:rPr>
              <w:t>Executive Summary</w:t>
            </w:r>
            <w:r>
              <w:rPr>
                <w:noProof/>
                <w:webHidden/>
              </w:rPr>
              <w:tab/>
            </w:r>
            <w:r>
              <w:rPr>
                <w:noProof/>
                <w:webHidden/>
              </w:rPr>
              <w:fldChar w:fldCharType="begin"/>
            </w:r>
            <w:r>
              <w:rPr>
                <w:noProof/>
                <w:webHidden/>
              </w:rPr>
              <w:instrText xml:space="preserve"> PAGEREF _Toc516598318 \h </w:instrText>
            </w:r>
            <w:r>
              <w:rPr>
                <w:noProof/>
                <w:webHidden/>
              </w:rPr>
            </w:r>
            <w:r>
              <w:rPr>
                <w:noProof/>
                <w:webHidden/>
              </w:rPr>
              <w:fldChar w:fldCharType="separate"/>
            </w:r>
            <w:r>
              <w:rPr>
                <w:noProof/>
                <w:webHidden/>
              </w:rPr>
              <w:t>6</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19" w:history="1">
            <w:r>
              <w:rPr>
                <w:rStyle w:val="Hyperlink"/>
                <w:noProof/>
              </w:rPr>
              <w:t>2</w:t>
            </w:r>
            <w:r>
              <w:rPr>
                <w:rFonts w:asciiTheme="minorHAnsi" w:eastAsiaTheme="minorEastAsia" w:hAnsiTheme="minorHAnsi" w:cstheme="minorBidi"/>
                <w:b w:val="0"/>
                <w:caps w:val="0"/>
                <w:noProof/>
                <w:color w:val="auto"/>
                <w:szCs w:val="22"/>
                <w:lang w:eastAsia="en-GB"/>
              </w:rPr>
              <w:tab/>
            </w:r>
            <w:r>
              <w:rPr>
                <w:rStyle w:val="Hyperlink"/>
                <w:noProof/>
              </w:rPr>
              <w:t>Preamble</w:t>
            </w:r>
            <w:r>
              <w:rPr>
                <w:noProof/>
                <w:webHidden/>
              </w:rPr>
              <w:tab/>
            </w:r>
            <w:r>
              <w:rPr>
                <w:noProof/>
                <w:webHidden/>
              </w:rPr>
              <w:fldChar w:fldCharType="begin"/>
            </w:r>
            <w:r>
              <w:rPr>
                <w:noProof/>
                <w:webHidden/>
              </w:rPr>
              <w:instrText xml:space="preserve"> PAGEREF _Toc516598319 \h </w:instrText>
            </w:r>
            <w:r>
              <w:rPr>
                <w:noProof/>
                <w:webHidden/>
              </w:rPr>
            </w:r>
            <w:r>
              <w:rPr>
                <w:noProof/>
                <w:webHidden/>
              </w:rPr>
              <w:fldChar w:fldCharType="separate"/>
            </w:r>
            <w:r>
              <w:rPr>
                <w:noProof/>
                <w:webHidden/>
              </w:rPr>
              <w:t>9</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20" w:history="1">
            <w:r>
              <w:rPr>
                <w:rStyle w:val="Hyperlink"/>
                <w:noProof/>
              </w:rPr>
              <w:t>3</w:t>
            </w:r>
            <w:r>
              <w:rPr>
                <w:rFonts w:asciiTheme="minorHAnsi" w:eastAsiaTheme="minorEastAsia" w:hAnsiTheme="minorHAnsi" w:cstheme="minorBidi"/>
                <w:b w:val="0"/>
                <w:caps w:val="0"/>
                <w:noProof/>
                <w:color w:val="auto"/>
                <w:szCs w:val="22"/>
                <w:lang w:eastAsia="en-GB"/>
              </w:rPr>
              <w:tab/>
            </w:r>
            <w:r>
              <w:rPr>
                <w:rStyle w:val="Hyperlink"/>
                <w:noProof/>
              </w:rPr>
              <w:t>Aims and Objectives of the Study</w:t>
            </w:r>
            <w:r>
              <w:rPr>
                <w:noProof/>
                <w:webHidden/>
              </w:rPr>
              <w:tab/>
            </w:r>
            <w:r>
              <w:rPr>
                <w:noProof/>
                <w:webHidden/>
              </w:rPr>
              <w:fldChar w:fldCharType="begin"/>
            </w:r>
            <w:r>
              <w:rPr>
                <w:noProof/>
                <w:webHidden/>
              </w:rPr>
              <w:instrText xml:space="preserve"> PAGEREF _Toc516598320 \h </w:instrText>
            </w:r>
            <w:r>
              <w:rPr>
                <w:noProof/>
                <w:webHidden/>
              </w:rPr>
            </w:r>
            <w:r>
              <w:rPr>
                <w:noProof/>
                <w:webHidden/>
              </w:rPr>
              <w:fldChar w:fldCharType="separate"/>
            </w:r>
            <w:r>
              <w:rPr>
                <w:noProof/>
                <w:webHidden/>
              </w:rPr>
              <w:t>10</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21" w:history="1">
            <w:r>
              <w:rPr>
                <w:rStyle w:val="Hyperlink"/>
                <w:noProof/>
              </w:rPr>
              <w:t>4</w:t>
            </w:r>
            <w:r>
              <w:rPr>
                <w:rFonts w:asciiTheme="minorHAnsi" w:eastAsiaTheme="minorEastAsia" w:hAnsiTheme="minorHAnsi" w:cstheme="minorBidi"/>
                <w:b w:val="0"/>
                <w:caps w:val="0"/>
                <w:noProof/>
                <w:color w:val="auto"/>
                <w:szCs w:val="22"/>
                <w:lang w:eastAsia="en-GB"/>
              </w:rPr>
              <w:tab/>
            </w:r>
            <w:r>
              <w:rPr>
                <w:rStyle w:val="Hyperlink"/>
                <w:noProof/>
              </w:rPr>
              <w:t>Overview and comparison of existing legislation and policies in the EU and India</w:t>
            </w:r>
            <w:r>
              <w:rPr>
                <w:noProof/>
                <w:webHidden/>
              </w:rPr>
              <w:tab/>
            </w:r>
            <w:r>
              <w:rPr>
                <w:noProof/>
                <w:webHidden/>
              </w:rPr>
              <w:fldChar w:fldCharType="begin"/>
            </w:r>
            <w:r>
              <w:rPr>
                <w:noProof/>
                <w:webHidden/>
              </w:rPr>
              <w:instrText xml:space="preserve"> PAGEREF _Toc516598321 \h </w:instrText>
            </w:r>
            <w:r>
              <w:rPr>
                <w:noProof/>
                <w:webHidden/>
              </w:rPr>
            </w:r>
            <w:r>
              <w:rPr>
                <w:noProof/>
                <w:webHidden/>
              </w:rPr>
              <w:fldChar w:fldCharType="separate"/>
            </w:r>
            <w:r>
              <w:rPr>
                <w:noProof/>
                <w:webHidden/>
              </w:rPr>
              <w:t>11</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22" w:history="1">
            <w:r>
              <w:rPr>
                <w:rStyle w:val="Hyperlink"/>
                <w:noProof/>
                <w14:scene3d>
                  <w14:camera w14:prst="orthographicFront"/>
                  <w14:lightRig w14:rig="threePt" w14:dir="t">
                    <w14:rot w14:lat="0" w14:lon="0" w14:rev="0"/>
                  </w14:lightRig>
                </w14:scene3d>
              </w:rPr>
              <w:t>4.1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_Toc516598322 \h </w:instrText>
            </w:r>
            <w:r>
              <w:rPr>
                <w:noProof/>
                <w:webHidden/>
              </w:rPr>
            </w:r>
            <w:r>
              <w:rPr>
                <w:noProof/>
                <w:webHidden/>
              </w:rPr>
              <w:fldChar w:fldCharType="separate"/>
            </w:r>
            <w:r>
              <w:rPr>
                <w:noProof/>
                <w:webHidden/>
              </w:rPr>
              <w:t>11</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23" w:history="1">
            <w:r>
              <w:rPr>
                <w:rStyle w:val="Hyperlink"/>
                <w:noProof/>
                <w14:scene3d>
                  <w14:camera w14:prst="orthographicFront"/>
                  <w14:lightRig w14:rig="threePt" w14:dir="t">
                    <w14:rot w14:lat="0" w14:lon="0" w14:rev="0"/>
                  </w14:lightRig>
                </w14:scene3d>
              </w:rPr>
              <w:t>4.2</w:t>
            </w:r>
            <w:r>
              <w:rPr>
                <w:rFonts w:asciiTheme="minorHAnsi" w:eastAsiaTheme="minorEastAsia" w:hAnsiTheme="minorHAnsi" w:cstheme="minorBidi"/>
                <w:noProof/>
                <w:color w:val="auto"/>
                <w:szCs w:val="22"/>
                <w:lang w:eastAsia="en-GB"/>
              </w:rPr>
              <w:tab/>
            </w:r>
            <w:r>
              <w:rPr>
                <w:rStyle w:val="Hyperlink"/>
                <w:noProof/>
              </w:rPr>
              <w:t>Overview of EU policies and legislation</w:t>
            </w:r>
            <w:r>
              <w:rPr>
                <w:noProof/>
                <w:webHidden/>
              </w:rPr>
              <w:tab/>
            </w:r>
            <w:r>
              <w:rPr>
                <w:noProof/>
                <w:webHidden/>
              </w:rPr>
              <w:fldChar w:fldCharType="begin"/>
            </w:r>
            <w:r>
              <w:rPr>
                <w:noProof/>
                <w:webHidden/>
              </w:rPr>
              <w:instrText xml:space="preserve"> PAGEREF _Toc516598323 \h </w:instrText>
            </w:r>
            <w:r>
              <w:rPr>
                <w:noProof/>
                <w:webHidden/>
              </w:rPr>
            </w:r>
            <w:r>
              <w:rPr>
                <w:noProof/>
                <w:webHidden/>
              </w:rPr>
              <w:fldChar w:fldCharType="separate"/>
            </w:r>
            <w:r>
              <w:rPr>
                <w:noProof/>
                <w:webHidden/>
              </w:rPr>
              <w:t>11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24" w:history="1">
            <w:r>
              <w:rPr>
                <w:rStyle w:val="Hyperlink"/>
                <w:noProof/>
              </w:rPr>
              <w:t>4.2.1</w:t>
            </w:r>
            <w:r>
              <w:rPr>
                <w:rFonts w:asciiTheme="minorHAnsi" w:eastAsiaTheme="minorEastAsia" w:hAnsiTheme="minorHAnsi" w:cstheme="minorBidi"/>
                <w:noProof/>
                <w:color w:val="auto"/>
                <w:szCs w:val="22"/>
                <w:lang w:eastAsia="en-GB"/>
              </w:rPr>
              <w:tab/>
            </w:r>
            <w:r>
              <w:rPr>
                <w:rStyle w:val="Hyperlink"/>
                <w:noProof/>
              </w:rPr>
              <w:t>Renewable Energy: Green Paper and White Paper</w:t>
            </w:r>
            <w:r>
              <w:rPr>
                <w:noProof/>
                <w:webHidden/>
              </w:rPr>
              <w:tab/>
            </w:r>
            <w:r>
              <w:rPr>
                <w:noProof/>
                <w:webHidden/>
              </w:rPr>
              <w:fldChar w:fldCharType="begin"/>
            </w:r>
            <w:r>
              <w:rPr>
                <w:noProof/>
                <w:webHidden/>
              </w:rPr>
              <w:instrText xml:space="preserve"> PAGEREF _Toc516598324 \h </w:instrText>
            </w:r>
            <w:r>
              <w:rPr>
                <w:noProof/>
                <w:webHidden/>
              </w:rPr>
            </w:r>
            <w:r>
              <w:rPr>
                <w:noProof/>
                <w:webHidden/>
              </w:rPr>
              <w:fldChar w:fldCharType="separate"/>
            </w:r>
            <w:r>
              <w:rPr>
                <w:noProof/>
                <w:webHidden/>
              </w:rPr>
              <w:t>11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25" w:history="1">
            <w:r>
              <w:rPr>
                <w:rStyle w:val="Hyperlink"/>
                <w:noProof/>
              </w:rPr>
              <w:t>4.2.2</w:t>
            </w:r>
            <w:r>
              <w:rPr>
                <w:rFonts w:asciiTheme="minorHAnsi" w:eastAsiaTheme="minorEastAsia" w:hAnsiTheme="minorHAnsi" w:cstheme="minorBidi"/>
                <w:noProof/>
                <w:color w:val="auto"/>
                <w:szCs w:val="22"/>
                <w:lang w:eastAsia="en-GB"/>
              </w:rPr>
              <w:tab/>
            </w:r>
            <w:r>
              <w:rPr>
                <w:rStyle w:val="Hyperlink"/>
                <w:noProof/>
              </w:rPr>
              <w:t>Directive 2003/30/EC</w:t>
            </w:r>
            <w:r>
              <w:rPr>
                <w:rStyle w:val="Hyperlink"/>
                <w:noProof/>
              </w:rPr>
              <w:t xml:space="preserve"> on the Promotion and use of biofuels and other renewable  fuels for transport</w:t>
            </w:r>
            <w:r>
              <w:rPr>
                <w:noProof/>
                <w:webHidden/>
              </w:rPr>
              <w:tab/>
            </w:r>
            <w:r>
              <w:rPr>
                <w:noProof/>
                <w:webHidden/>
              </w:rPr>
              <w:fldChar w:fldCharType="begin"/>
            </w:r>
            <w:r>
              <w:rPr>
                <w:noProof/>
                <w:webHidden/>
              </w:rPr>
              <w:instrText xml:space="preserve"> PAGEREF _Toc516598325 \h </w:instrText>
            </w:r>
            <w:r>
              <w:rPr>
                <w:noProof/>
                <w:webHidden/>
              </w:rPr>
            </w:r>
            <w:r>
              <w:rPr>
                <w:noProof/>
                <w:webHidden/>
              </w:rPr>
              <w:fldChar w:fldCharType="separate"/>
            </w:r>
            <w:r>
              <w:rPr>
                <w:noProof/>
                <w:webHidden/>
              </w:rPr>
              <w:t>12</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26" w:history="1">
            <w:r>
              <w:rPr>
                <w:rStyle w:val="Hyperlink"/>
                <w:noProof/>
              </w:rPr>
              <w:t>4.2.3</w:t>
            </w:r>
            <w:r>
              <w:rPr>
                <w:rFonts w:asciiTheme="minorHAnsi" w:eastAsiaTheme="minorEastAsia" w:hAnsiTheme="minorHAnsi" w:cstheme="minorBidi"/>
                <w:noProof/>
                <w:color w:val="auto"/>
                <w:szCs w:val="22"/>
                <w:lang w:eastAsia="en-GB"/>
              </w:rPr>
              <w:tab/>
            </w:r>
            <w:r>
              <w:rPr>
                <w:rStyle w:val="Hyperlink"/>
                <w:noProof/>
              </w:rPr>
              <w:t>Fuel Quality Directive</w:t>
            </w:r>
            <w:r>
              <w:rPr>
                <w:noProof/>
                <w:webHidden/>
              </w:rPr>
              <w:tab/>
            </w:r>
            <w:r>
              <w:rPr>
                <w:noProof/>
                <w:webHidden/>
              </w:rPr>
              <w:fldChar w:fldCharType="begin"/>
            </w:r>
            <w:r>
              <w:rPr>
                <w:noProof/>
                <w:webHidden/>
              </w:rPr>
              <w:instrText xml:space="preserve"> PAGEREF _Toc516598326 \h </w:instrText>
            </w:r>
            <w:r>
              <w:rPr>
                <w:noProof/>
                <w:webHidden/>
              </w:rPr>
            </w:r>
            <w:r>
              <w:rPr>
                <w:noProof/>
                <w:webHidden/>
              </w:rPr>
              <w:fldChar w:fldCharType="separate"/>
            </w:r>
            <w:r>
              <w:rPr>
                <w:noProof/>
                <w:webHidden/>
              </w:rPr>
              <w:t>13</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27" w:history="1">
            <w:r>
              <w:rPr>
                <w:rStyle w:val="Hyperlink"/>
                <w:noProof/>
              </w:rPr>
              <w:t>4.2.4</w:t>
            </w:r>
            <w:r>
              <w:rPr>
                <w:rFonts w:asciiTheme="minorHAnsi" w:eastAsiaTheme="minorEastAsia" w:hAnsiTheme="minorHAnsi" w:cstheme="minorBidi"/>
                <w:noProof/>
                <w:color w:val="auto"/>
                <w:szCs w:val="22"/>
                <w:lang w:eastAsia="en-GB"/>
              </w:rPr>
              <w:tab/>
            </w:r>
            <w:r>
              <w:rPr>
                <w:rStyle w:val="Hyperlink"/>
                <w:noProof/>
              </w:rPr>
              <w:t>Renewable Energy Directive 2009, as amended</w:t>
            </w:r>
            <w:r>
              <w:rPr>
                <w:noProof/>
                <w:webHidden/>
              </w:rPr>
              <w:tab/>
            </w:r>
            <w:r>
              <w:rPr>
                <w:noProof/>
                <w:webHidden/>
              </w:rPr>
              <w:fldChar w:fldCharType="begin"/>
            </w:r>
            <w:r>
              <w:rPr>
                <w:noProof/>
                <w:webHidden/>
              </w:rPr>
              <w:instrText xml:space="preserve"> PAGEREF _Toc516598327 \h </w:instrText>
            </w:r>
            <w:r>
              <w:rPr>
                <w:noProof/>
                <w:webHidden/>
              </w:rPr>
            </w:r>
            <w:r>
              <w:rPr>
                <w:noProof/>
                <w:webHidden/>
              </w:rPr>
              <w:fldChar w:fldCharType="separate"/>
            </w:r>
            <w:r>
              <w:rPr>
                <w:noProof/>
                <w:webHidden/>
              </w:rPr>
              <w:t>14</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28" w:history="1">
            <w:r>
              <w:rPr>
                <w:rStyle w:val="Hyperlink"/>
                <w:noProof/>
              </w:rPr>
              <w:t>4.2.5</w:t>
            </w:r>
            <w:r>
              <w:rPr>
                <w:rFonts w:asciiTheme="minorHAnsi" w:eastAsiaTheme="minorEastAsia" w:hAnsiTheme="minorHAnsi" w:cstheme="minorBidi"/>
                <w:noProof/>
                <w:color w:val="auto"/>
                <w:szCs w:val="22"/>
                <w:lang w:eastAsia="en-GB"/>
              </w:rPr>
              <w:tab/>
            </w:r>
            <w:r>
              <w:rPr>
                <w:rStyle w:val="Hyperlink"/>
                <w:noProof/>
              </w:rPr>
              <w:t>Legislation and policies in the pipeline</w:t>
            </w:r>
            <w:r>
              <w:rPr>
                <w:noProof/>
                <w:webHidden/>
              </w:rPr>
              <w:tab/>
            </w:r>
            <w:r>
              <w:rPr>
                <w:noProof/>
                <w:webHidden/>
              </w:rPr>
              <w:fldChar w:fldCharType="begin"/>
            </w:r>
            <w:r>
              <w:rPr>
                <w:noProof/>
                <w:webHidden/>
              </w:rPr>
              <w:instrText xml:space="preserve"> PAGEREF _Toc516598328 \h </w:instrText>
            </w:r>
            <w:r>
              <w:rPr>
                <w:noProof/>
                <w:webHidden/>
              </w:rPr>
            </w:r>
            <w:r>
              <w:rPr>
                <w:noProof/>
                <w:webHidden/>
              </w:rPr>
              <w:fldChar w:fldCharType="separate"/>
            </w:r>
            <w:r>
              <w:rPr>
                <w:noProof/>
                <w:webHidden/>
              </w:rPr>
              <w:t>16</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29" w:history="1">
            <w:r>
              <w:rPr>
                <w:rStyle w:val="Hyperlink"/>
                <w:noProof/>
                <w14:scene3d>
                  <w14:camera w14:prst="orthographicFront"/>
                  <w14:lightRig w14:rig="threePt" w14:dir="t">
                    <w14:rot w14:lat="0" w14:lon="0" w14:rev="0"/>
                  </w14:lightRig>
                </w14:scene3d>
              </w:rPr>
              <w:t>4.3</w:t>
            </w:r>
            <w:r>
              <w:rPr>
                <w:rFonts w:asciiTheme="minorHAnsi" w:eastAsiaTheme="minorEastAsia" w:hAnsiTheme="minorHAnsi" w:cstheme="minorBidi"/>
                <w:noProof/>
                <w:color w:val="auto"/>
                <w:szCs w:val="22"/>
                <w:lang w:eastAsia="en-GB"/>
              </w:rPr>
              <w:tab/>
            </w:r>
            <w:r>
              <w:rPr>
                <w:rStyle w:val="Hyperlink"/>
                <w:noProof/>
              </w:rPr>
              <w:t>Overview of Indian pol</w:t>
            </w:r>
            <w:r>
              <w:rPr>
                <w:rStyle w:val="Hyperlink"/>
                <w:noProof/>
              </w:rPr>
              <w:t>icies and legislation</w:t>
            </w:r>
            <w:r>
              <w:rPr>
                <w:noProof/>
                <w:webHidden/>
              </w:rPr>
              <w:tab/>
            </w:r>
            <w:r>
              <w:rPr>
                <w:noProof/>
                <w:webHidden/>
              </w:rPr>
              <w:fldChar w:fldCharType="begin"/>
            </w:r>
            <w:r>
              <w:rPr>
                <w:noProof/>
                <w:webHidden/>
              </w:rPr>
              <w:instrText xml:space="preserve"> PAGEREF _Toc516598329 \h </w:instrText>
            </w:r>
            <w:r>
              <w:rPr>
                <w:noProof/>
                <w:webHidden/>
              </w:rPr>
            </w:r>
            <w:r>
              <w:rPr>
                <w:noProof/>
                <w:webHidden/>
              </w:rPr>
              <w:fldChar w:fldCharType="separate"/>
            </w:r>
            <w:r>
              <w:rPr>
                <w:noProof/>
                <w:webHidden/>
              </w:rPr>
              <w:t>20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0" w:history="1">
            <w:r>
              <w:rPr>
                <w:rStyle w:val="Hyperlink"/>
                <w:noProof/>
              </w:rPr>
              <w:t>4.3.1</w:t>
            </w:r>
            <w:r>
              <w:rPr>
                <w:rFonts w:asciiTheme="minorHAnsi" w:eastAsiaTheme="minorEastAsia" w:hAnsiTheme="minorHAnsi" w:cstheme="minorBidi"/>
                <w:noProof/>
                <w:color w:val="auto"/>
                <w:szCs w:val="22"/>
                <w:lang w:eastAsia="en-GB"/>
              </w:rPr>
              <w:tab/>
            </w:r>
            <w:r>
              <w:rPr>
                <w:rStyle w:val="Hyperlink"/>
                <w:noProof/>
                <w:shd w:val="clear" w:color="auto" w:fill="FFFFFF"/>
              </w:rPr>
              <w:t>The Power Alcohol Act, 1948</w:t>
            </w:r>
            <w:r>
              <w:rPr>
                <w:noProof/>
                <w:webHidden/>
              </w:rPr>
              <w:tab/>
            </w:r>
            <w:r>
              <w:rPr>
                <w:noProof/>
                <w:webHidden/>
              </w:rPr>
              <w:fldChar w:fldCharType="begin"/>
            </w:r>
            <w:r>
              <w:rPr>
                <w:noProof/>
                <w:webHidden/>
              </w:rPr>
              <w:instrText xml:space="preserve"> PAGEREF _Toc516598330 \h </w:instrText>
            </w:r>
            <w:r>
              <w:rPr>
                <w:noProof/>
                <w:webHidden/>
              </w:rPr>
            </w:r>
            <w:r>
              <w:rPr>
                <w:noProof/>
                <w:webHidden/>
              </w:rPr>
              <w:fldChar w:fldCharType="separate"/>
            </w:r>
            <w:r>
              <w:rPr>
                <w:noProof/>
                <w:webHidden/>
              </w:rPr>
              <w:t>20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1" w:history="1">
            <w:r>
              <w:rPr>
                <w:rStyle w:val="Hyperlink"/>
                <w:noProof/>
              </w:rPr>
              <w:t>4.3.2</w:t>
            </w:r>
            <w:r>
              <w:rPr>
                <w:rFonts w:asciiTheme="minorHAnsi" w:eastAsiaTheme="minorEastAsia" w:hAnsiTheme="minorHAnsi" w:cstheme="minorBidi"/>
                <w:noProof/>
                <w:color w:val="auto"/>
                <w:szCs w:val="22"/>
                <w:lang w:eastAsia="en-GB"/>
              </w:rPr>
              <w:tab/>
            </w:r>
            <w:r>
              <w:rPr>
                <w:rStyle w:val="Hyperlink"/>
                <w:noProof/>
                <w:shd w:val="clear" w:color="auto" w:fill="FFFFFF"/>
              </w:rPr>
              <w:t>Auto Fuel Policy 2003</w:t>
            </w:r>
            <w:r>
              <w:rPr>
                <w:noProof/>
                <w:webHidden/>
              </w:rPr>
              <w:tab/>
            </w:r>
            <w:r>
              <w:rPr>
                <w:noProof/>
                <w:webHidden/>
              </w:rPr>
              <w:fldChar w:fldCharType="begin"/>
            </w:r>
            <w:r>
              <w:rPr>
                <w:noProof/>
                <w:webHidden/>
              </w:rPr>
              <w:instrText xml:space="preserve"> PAGEREF _Toc516598331 \h </w:instrText>
            </w:r>
            <w:r>
              <w:rPr>
                <w:noProof/>
                <w:webHidden/>
              </w:rPr>
            </w:r>
            <w:r>
              <w:rPr>
                <w:noProof/>
                <w:webHidden/>
              </w:rPr>
              <w:fldChar w:fldCharType="separate"/>
            </w:r>
            <w:r>
              <w:rPr>
                <w:noProof/>
                <w:webHidden/>
              </w:rPr>
              <w:t>21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2" w:history="1">
            <w:r>
              <w:rPr>
                <w:rStyle w:val="Hyperlink"/>
                <w:noProof/>
              </w:rPr>
              <w:t>4.3.3</w:t>
            </w:r>
            <w:r>
              <w:rPr>
                <w:rFonts w:asciiTheme="minorHAnsi" w:eastAsiaTheme="minorEastAsia" w:hAnsiTheme="minorHAnsi" w:cstheme="minorBidi"/>
                <w:noProof/>
                <w:color w:val="auto"/>
                <w:szCs w:val="22"/>
                <w:lang w:eastAsia="en-GB"/>
              </w:rPr>
              <w:tab/>
            </w:r>
            <w:r>
              <w:rPr>
                <w:rStyle w:val="Hyperlink"/>
                <w:noProof/>
                <w:shd w:val="clear" w:color="auto" w:fill="FFFFFF"/>
              </w:rPr>
              <w:t>Ethanol Blending Program</w:t>
            </w:r>
            <w:r>
              <w:rPr>
                <w:noProof/>
                <w:webHidden/>
              </w:rPr>
              <w:tab/>
            </w:r>
            <w:r>
              <w:rPr>
                <w:noProof/>
                <w:webHidden/>
              </w:rPr>
              <w:fldChar w:fldCharType="begin"/>
            </w:r>
            <w:r>
              <w:rPr>
                <w:noProof/>
                <w:webHidden/>
              </w:rPr>
              <w:instrText xml:space="preserve"> PAGEREF _Toc516598332 \h </w:instrText>
            </w:r>
            <w:r>
              <w:rPr>
                <w:noProof/>
                <w:webHidden/>
              </w:rPr>
            </w:r>
            <w:r>
              <w:rPr>
                <w:noProof/>
                <w:webHidden/>
              </w:rPr>
              <w:fldChar w:fldCharType="separate"/>
            </w:r>
            <w:r>
              <w:rPr>
                <w:noProof/>
                <w:webHidden/>
              </w:rPr>
              <w:t>21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3" w:history="1">
            <w:r>
              <w:rPr>
                <w:rStyle w:val="Hyperlink"/>
                <w:noProof/>
              </w:rPr>
              <w:t>4.3.4</w:t>
            </w:r>
            <w:r>
              <w:rPr>
                <w:rFonts w:asciiTheme="minorHAnsi" w:eastAsiaTheme="minorEastAsia" w:hAnsiTheme="minorHAnsi" w:cstheme="minorBidi"/>
                <w:noProof/>
                <w:color w:val="auto"/>
                <w:szCs w:val="22"/>
                <w:lang w:eastAsia="en-GB"/>
              </w:rPr>
              <w:tab/>
            </w:r>
            <w:r>
              <w:rPr>
                <w:rStyle w:val="Hyperlink"/>
                <w:noProof/>
                <w:shd w:val="clear" w:color="auto" w:fill="FFFFFF"/>
              </w:rPr>
              <w:t>National Mission on Biodiesel</w:t>
            </w:r>
            <w:r>
              <w:rPr>
                <w:noProof/>
                <w:webHidden/>
              </w:rPr>
              <w:tab/>
            </w:r>
            <w:r>
              <w:rPr>
                <w:noProof/>
                <w:webHidden/>
              </w:rPr>
              <w:fldChar w:fldCharType="begin"/>
            </w:r>
            <w:r>
              <w:rPr>
                <w:noProof/>
                <w:webHidden/>
              </w:rPr>
              <w:instrText xml:space="preserve"> PAGEREF _Toc516598333 \h </w:instrText>
            </w:r>
            <w:r>
              <w:rPr>
                <w:noProof/>
                <w:webHidden/>
              </w:rPr>
            </w:r>
            <w:r>
              <w:rPr>
                <w:noProof/>
                <w:webHidden/>
              </w:rPr>
              <w:fldChar w:fldCharType="separate"/>
            </w:r>
            <w:r>
              <w:rPr>
                <w:noProof/>
                <w:webHidden/>
              </w:rPr>
              <w:t>21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4" w:history="1">
            <w:r>
              <w:rPr>
                <w:rStyle w:val="Hyperlink"/>
                <w:noProof/>
              </w:rPr>
              <w:t>4.3.5</w:t>
            </w:r>
            <w:r>
              <w:rPr>
                <w:rFonts w:asciiTheme="minorHAnsi" w:eastAsiaTheme="minorEastAsia" w:hAnsiTheme="minorHAnsi" w:cstheme="minorBidi"/>
                <w:noProof/>
                <w:color w:val="auto"/>
                <w:szCs w:val="22"/>
                <w:lang w:eastAsia="en-GB"/>
              </w:rPr>
              <w:tab/>
            </w:r>
            <w:r>
              <w:rPr>
                <w:rStyle w:val="Hyperlink"/>
                <w:noProof/>
                <w:shd w:val="clear" w:color="auto" w:fill="FFFFFF"/>
              </w:rPr>
              <w:t>National Biofuel Policy</w:t>
            </w:r>
            <w:r>
              <w:rPr>
                <w:noProof/>
                <w:webHidden/>
              </w:rPr>
              <w:tab/>
            </w:r>
            <w:r>
              <w:rPr>
                <w:noProof/>
                <w:webHidden/>
              </w:rPr>
              <w:fldChar w:fldCharType="begin"/>
            </w:r>
            <w:r>
              <w:rPr>
                <w:noProof/>
                <w:webHidden/>
              </w:rPr>
              <w:instrText xml:space="preserve"> PAGEREF _Toc516598334 \h </w:instrText>
            </w:r>
            <w:r>
              <w:rPr>
                <w:noProof/>
                <w:webHidden/>
              </w:rPr>
            </w:r>
            <w:r>
              <w:rPr>
                <w:noProof/>
                <w:webHidden/>
              </w:rPr>
              <w:fldChar w:fldCharType="separate"/>
            </w:r>
            <w:r>
              <w:rPr>
                <w:noProof/>
                <w:webHidden/>
              </w:rPr>
              <w:t>22</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5" w:history="1">
            <w:r>
              <w:rPr>
                <w:rStyle w:val="Hyperlink"/>
                <w:noProof/>
              </w:rPr>
              <w:t>4.3.6</w:t>
            </w:r>
            <w:r>
              <w:rPr>
                <w:rFonts w:asciiTheme="minorHAnsi" w:eastAsiaTheme="minorEastAsia" w:hAnsiTheme="minorHAnsi" w:cstheme="minorBidi"/>
                <w:noProof/>
                <w:color w:val="auto"/>
                <w:szCs w:val="22"/>
                <w:lang w:eastAsia="en-GB"/>
              </w:rPr>
              <w:tab/>
            </w:r>
            <w:r>
              <w:rPr>
                <w:rStyle w:val="Hyperlink"/>
                <w:noProof/>
                <w:shd w:val="clear" w:color="auto" w:fill="FFFFFF"/>
              </w:rPr>
              <w:t>Ministry of Petroleum and Natural Gas and its new powers</w:t>
            </w:r>
            <w:r>
              <w:rPr>
                <w:noProof/>
                <w:webHidden/>
              </w:rPr>
              <w:tab/>
            </w:r>
            <w:r>
              <w:rPr>
                <w:noProof/>
                <w:webHidden/>
              </w:rPr>
              <w:fldChar w:fldCharType="begin"/>
            </w:r>
            <w:r>
              <w:rPr>
                <w:noProof/>
                <w:webHidden/>
              </w:rPr>
              <w:instrText xml:space="preserve"> PAGEREF _Toc516598335 \h </w:instrText>
            </w:r>
            <w:r>
              <w:rPr>
                <w:noProof/>
                <w:webHidden/>
              </w:rPr>
            </w:r>
            <w:r>
              <w:rPr>
                <w:noProof/>
                <w:webHidden/>
              </w:rPr>
              <w:fldChar w:fldCharType="separate"/>
            </w:r>
            <w:r>
              <w:rPr>
                <w:noProof/>
                <w:webHidden/>
              </w:rPr>
              <w:t>23</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6" w:history="1">
            <w:r>
              <w:rPr>
                <w:rStyle w:val="Hyperlink"/>
                <w:noProof/>
              </w:rPr>
              <w:t>4.3.7</w:t>
            </w:r>
            <w:r>
              <w:rPr>
                <w:rFonts w:asciiTheme="minorHAnsi" w:eastAsiaTheme="minorEastAsia" w:hAnsiTheme="minorHAnsi" w:cstheme="minorBidi"/>
                <w:noProof/>
                <w:color w:val="auto"/>
                <w:szCs w:val="22"/>
                <w:lang w:eastAsia="en-GB"/>
              </w:rPr>
              <w:tab/>
            </w:r>
            <w:r>
              <w:rPr>
                <w:rStyle w:val="Hyperlink"/>
                <w:noProof/>
                <w:shd w:val="clear" w:color="auto" w:fill="FFFFFF"/>
              </w:rPr>
              <w:t>Legislation and Policies in the Pipeline</w:t>
            </w:r>
            <w:r>
              <w:rPr>
                <w:noProof/>
                <w:webHidden/>
              </w:rPr>
              <w:tab/>
            </w:r>
            <w:r>
              <w:rPr>
                <w:noProof/>
                <w:webHidden/>
              </w:rPr>
              <w:fldChar w:fldCharType="begin"/>
            </w:r>
            <w:r>
              <w:rPr>
                <w:noProof/>
                <w:webHidden/>
              </w:rPr>
              <w:instrText xml:space="preserve"> PAGEREF _Toc516598336 \h </w:instrText>
            </w:r>
            <w:r>
              <w:rPr>
                <w:noProof/>
                <w:webHidden/>
              </w:rPr>
            </w:r>
            <w:r>
              <w:rPr>
                <w:noProof/>
                <w:webHidden/>
              </w:rPr>
              <w:fldChar w:fldCharType="separate"/>
            </w:r>
            <w:r>
              <w:rPr>
                <w:noProof/>
                <w:webHidden/>
              </w:rPr>
              <w:t>24</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37" w:history="1">
            <w:r>
              <w:rPr>
                <w:rStyle w:val="Hyperlink"/>
                <w:noProof/>
                <w14:scene3d>
                  <w14:camera w14:prst="orthographicFront"/>
                  <w14:lightRig w14:rig="threePt" w14:dir="t">
                    <w14:rot w14:lat="0" w14:lon="0" w14:rev="0"/>
                  </w14:lightRig>
                </w14:scene3d>
              </w:rPr>
              <w:t>4.4</w:t>
            </w:r>
            <w:r>
              <w:rPr>
                <w:rFonts w:asciiTheme="minorHAnsi" w:eastAsiaTheme="minorEastAsia" w:hAnsiTheme="minorHAnsi" w:cstheme="minorBidi"/>
                <w:noProof/>
                <w:color w:val="auto"/>
                <w:szCs w:val="22"/>
                <w:lang w:eastAsia="en-GB"/>
              </w:rPr>
              <w:tab/>
            </w:r>
            <w:r>
              <w:rPr>
                <w:rStyle w:val="Hyperlink"/>
                <w:noProof/>
              </w:rPr>
              <w:t>Comparative Analysis</w:t>
            </w:r>
            <w:r>
              <w:rPr>
                <w:noProof/>
                <w:webHidden/>
              </w:rPr>
              <w:tab/>
            </w:r>
            <w:r>
              <w:rPr>
                <w:noProof/>
                <w:webHidden/>
              </w:rPr>
              <w:fldChar w:fldCharType="begin"/>
            </w:r>
            <w:r>
              <w:rPr>
                <w:noProof/>
                <w:webHidden/>
              </w:rPr>
              <w:instrText xml:space="preserve"> PAGEREF _Toc516598337 \h </w:instrText>
            </w:r>
            <w:r>
              <w:rPr>
                <w:noProof/>
                <w:webHidden/>
              </w:rPr>
            </w:r>
            <w:r>
              <w:rPr>
                <w:noProof/>
                <w:webHidden/>
              </w:rPr>
              <w:fldChar w:fldCharType="separate"/>
            </w:r>
            <w:r>
              <w:rPr>
                <w:noProof/>
                <w:webHidden/>
              </w:rPr>
              <w:t>25</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8" w:history="1">
            <w:r>
              <w:rPr>
                <w:rStyle w:val="Hyperlink"/>
                <w:noProof/>
              </w:rPr>
              <w:t>4.4.1</w:t>
            </w:r>
            <w:r>
              <w:rPr>
                <w:rFonts w:asciiTheme="minorHAnsi" w:eastAsiaTheme="minorEastAsia" w:hAnsiTheme="minorHAnsi" w:cstheme="minorBidi"/>
                <w:noProof/>
                <w:color w:val="auto"/>
                <w:szCs w:val="22"/>
                <w:lang w:eastAsia="en-GB"/>
              </w:rPr>
              <w:tab/>
            </w:r>
            <w:r>
              <w:rPr>
                <w:rStyle w:val="Hyperlink"/>
                <w:noProof/>
              </w:rPr>
              <w:t>Instrument</w:t>
            </w:r>
            <w:r>
              <w:rPr>
                <w:noProof/>
                <w:webHidden/>
              </w:rPr>
              <w:tab/>
            </w:r>
            <w:r>
              <w:rPr>
                <w:noProof/>
                <w:webHidden/>
              </w:rPr>
              <w:fldChar w:fldCharType="begin"/>
            </w:r>
            <w:r>
              <w:rPr>
                <w:noProof/>
                <w:webHidden/>
              </w:rPr>
              <w:instrText xml:space="preserve"> PAGEREF _Toc516598338 \h </w:instrText>
            </w:r>
            <w:r>
              <w:rPr>
                <w:noProof/>
                <w:webHidden/>
              </w:rPr>
            </w:r>
            <w:r>
              <w:rPr>
                <w:noProof/>
                <w:webHidden/>
              </w:rPr>
              <w:fldChar w:fldCharType="separate"/>
            </w:r>
            <w:r>
              <w:rPr>
                <w:noProof/>
                <w:webHidden/>
              </w:rPr>
              <w:t>25</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39" w:history="1">
            <w:r>
              <w:rPr>
                <w:rStyle w:val="Hyperlink"/>
                <w:noProof/>
              </w:rPr>
              <w:t>4.4.2</w:t>
            </w:r>
            <w:r>
              <w:rPr>
                <w:rFonts w:asciiTheme="minorHAnsi" w:eastAsiaTheme="minorEastAsia" w:hAnsiTheme="minorHAnsi" w:cstheme="minorBidi"/>
                <w:noProof/>
                <w:color w:val="auto"/>
                <w:szCs w:val="22"/>
                <w:lang w:eastAsia="en-GB"/>
              </w:rPr>
              <w:tab/>
            </w:r>
            <w:r>
              <w:rPr>
                <w:rStyle w:val="Hyperlink"/>
                <w:noProof/>
              </w:rPr>
              <w:t>Implementation of legislation/policy</w:t>
            </w:r>
            <w:r>
              <w:rPr>
                <w:noProof/>
                <w:webHidden/>
              </w:rPr>
              <w:tab/>
            </w:r>
            <w:r>
              <w:rPr>
                <w:noProof/>
                <w:webHidden/>
              </w:rPr>
              <w:fldChar w:fldCharType="begin"/>
            </w:r>
            <w:r>
              <w:rPr>
                <w:noProof/>
                <w:webHidden/>
              </w:rPr>
              <w:instrText xml:space="preserve"> PAGEREF _Toc516598339 \h </w:instrText>
            </w:r>
            <w:r>
              <w:rPr>
                <w:noProof/>
                <w:webHidden/>
              </w:rPr>
            </w:r>
            <w:r>
              <w:rPr>
                <w:noProof/>
                <w:webHidden/>
              </w:rPr>
              <w:fldChar w:fldCharType="separate"/>
            </w:r>
            <w:r>
              <w:rPr>
                <w:noProof/>
                <w:webHidden/>
              </w:rPr>
              <w:t>25</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0" w:history="1">
            <w:r>
              <w:rPr>
                <w:rStyle w:val="Hyperlink"/>
                <w:noProof/>
              </w:rPr>
              <w:t>4.4.3</w:t>
            </w:r>
            <w:r>
              <w:rPr>
                <w:rFonts w:asciiTheme="minorHAnsi" w:eastAsiaTheme="minorEastAsia" w:hAnsiTheme="minorHAnsi" w:cstheme="minorBidi"/>
                <w:noProof/>
                <w:color w:val="auto"/>
                <w:szCs w:val="22"/>
                <w:lang w:eastAsia="en-GB"/>
              </w:rPr>
              <w:tab/>
            </w:r>
            <w:r>
              <w:rPr>
                <w:rStyle w:val="Hyperlink"/>
                <w:noProof/>
              </w:rPr>
              <w:t>Aims and Objectives</w:t>
            </w:r>
            <w:r>
              <w:rPr>
                <w:noProof/>
                <w:webHidden/>
              </w:rPr>
              <w:tab/>
            </w:r>
            <w:r>
              <w:rPr>
                <w:noProof/>
                <w:webHidden/>
              </w:rPr>
              <w:fldChar w:fldCharType="begin"/>
            </w:r>
            <w:r>
              <w:rPr>
                <w:noProof/>
                <w:webHidden/>
              </w:rPr>
              <w:instrText xml:space="preserve"> PAGEREF _Toc516598340 \h </w:instrText>
            </w:r>
            <w:r>
              <w:rPr>
                <w:noProof/>
                <w:webHidden/>
              </w:rPr>
            </w:r>
            <w:r>
              <w:rPr>
                <w:noProof/>
                <w:webHidden/>
              </w:rPr>
              <w:fldChar w:fldCharType="separate"/>
            </w:r>
            <w:r>
              <w:rPr>
                <w:noProof/>
                <w:webHidden/>
              </w:rPr>
              <w:t>26</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1" w:history="1">
            <w:r>
              <w:rPr>
                <w:rStyle w:val="Hyperlink"/>
                <w:noProof/>
              </w:rPr>
              <w:t>4.4.4</w:t>
            </w:r>
            <w:r>
              <w:rPr>
                <w:rFonts w:asciiTheme="minorHAnsi" w:eastAsiaTheme="minorEastAsia" w:hAnsiTheme="minorHAnsi" w:cstheme="minorBidi"/>
                <w:noProof/>
                <w:color w:val="auto"/>
                <w:szCs w:val="22"/>
                <w:lang w:eastAsia="en-GB"/>
              </w:rPr>
              <w:tab/>
            </w:r>
            <w:r>
              <w:rPr>
                <w:rStyle w:val="Hyperlink"/>
                <w:noProof/>
              </w:rPr>
              <w:t>Definition of Biofuels</w:t>
            </w:r>
            <w:r>
              <w:rPr>
                <w:noProof/>
                <w:webHidden/>
              </w:rPr>
              <w:tab/>
            </w:r>
            <w:r>
              <w:rPr>
                <w:noProof/>
                <w:webHidden/>
              </w:rPr>
              <w:fldChar w:fldCharType="begin"/>
            </w:r>
            <w:r>
              <w:rPr>
                <w:noProof/>
                <w:webHidden/>
              </w:rPr>
              <w:instrText xml:space="preserve"> PAGEREF _Toc516598341 \h </w:instrText>
            </w:r>
            <w:r>
              <w:rPr>
                <w:noProof/>
                <w:webHidden/>
              </w:rPr>
            </w:r>
            <w:r>
              <w:rPr>
                <w:noProof/>
                <w:webHidden/>
              </w:rPr>
              <w:fldChar w:fldCharType="separate"/>
            </w:r>
            <w:r>
              <w:rPr>
                <w:noProof/>
                <w:webHidden/>
              </w:rPr>
              <w:t>26</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2" w:history="1">
            <w:r>
              <w:rPr>
                <w:rStyle w:val="Hyperlink"/>
                <w:noProof/>
              </w:rPr>
              <w:t>4.4.5</w:t>
            </w:r>
            <w:r>
              <w:rPr>
                <w:rFonts w:asciiTheme="minorHAnsi" w:eastAsiaTheme="minorEastAsia" w:hAnsiTheme="minorHAnsi" w:cstheme="minorBidi"/>
                <w:noProof/>
                <w:color w:val="auto"/>
                <w:szCs w:val="22"/>
                <w:lang w:eastAsia="en-GB"/>
              </w:rPr>
              <w:tab/>
            </w:r>
            <w:r>
              <w:rPr>
                <w:rStyle w:val="Hyperlink"/>
                <w:noProof/>
              </w:rPr>
              <w:t>Implementation of targets</w:t>
            </w:r>
            <w:r>
              <w:rPr>
                <w:noProof/>
                <w:webHidden/>
              </w:rPr>
              <w:tab/>
            </w:r>
            <w:r>
              <w:rPr>
                <w:noProof/>
                <w:webHidden/>
              </w:rPr>
              <w:fldChar w:fldCharType="begin"/>
            </w:r>
            <w:r>
              <w:rPr>
                <w:noProof/>
                <w:webHidden/>
              </w:rPr>
              <w:instrText xml:space="preserve"> PAGEREF _Toc516598342 \h </w:instrText>
            </w:r>
            <w:r>
              <w:rPr>
                <w:noProof/>
                <w:webHidden/>
              </w:rPr>
            </w:r>
            <w:r>
              <w:rPr>
                <w:noProof/>
                <w:webHidden/>
              </w:rPr>
              <w:fldChar w:fldCharType="separate"/>
            </w:r>
            <w:r>
              <w:rPr>
                <w:noProof/>
                <w:webHidden/>
              </w:rPr>
              <w:t>27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3" w:history="1">
            <w:r>
              <w:rPr>
                <w:rStyle w:val="Hyperlink"/>
                <w:noProof/>
              </w:rPr>
              <w:t>4.4.6</w:t>
            </w:r>
            <w:r>
              <w:rPr>
                <w:rFonts w:asciiTheme="minorHAnsi" w:eastAsiaTheme="minorEastAsia" w:hAnsiTheme="minorHAnsi" w:cstheme="minorBidi"/>
                <w:noProof/>
                <w:color w:val="auto"/>
                <w:szCs w:val="22"/>
                <w:lang w:eastAsia="en-GB"/>
              </w:rPr>
              <w:tab/>
            </w:r>
            <w:r>
              <w:rPr>
                <w:rStyle w:val="Hyperlink"/>
                <w:noProof/>
              </w:rPr>
              <w:t xml:space="preserve">Sustainability </w:t>
            </w:r>
            <w:r>
              <w:rPr>
                <w:rStyle w:val="Hyperlink"/>
                <w:noProof/>
              </w:rPr>
              <w:t>Criteria</w:t>
            </w:r>
            <w:r>
              <w:rPr>
                <w:noProof/>
                <w:webHidden/>
              </w:rPr>
              <w:tab/>
            </w:r>
            <w:r>
              <w:rPr>
                <w:noProof/>
                <w:webHidden/>
              </w:rPr>
              <w:fldChar w:fldCharType="begin"/>
            </w:r>
            <w:r>
              <w:rPr>
                <w:noProof/>
                <w:webHidden/>
              </w:rPr>
              <w:instrText xml:space="preserve"> PAGEREF _Toc516598343 \h </w:instrText>
            </w:r>
            <w:r>
              <w:rPr>
                <w:noProof/>
                <w:webHidden/>
              </w:rPr>
            </w:r>
            <w:r>
              <w:rPr>
                <w:noProof/>
                <w:webHidden/>
              </w:rPr>
              <w:fldChar w:fldCharType="separate"/>
            </w:r>
            <w:r>
              <w:rPr>
                <w:noProof/>
                <w:webHidden/>
              </w:rPr>
              <w:t>27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4" w:history="1">
            <w:r>
              <w:rPr>
                <w:rStyle w:val="Hyperlink"/>
                <w:noProof/>
              </w:rPr>
              <w:t>4.4.7</w:t>
            </w:r>
            <w:r>
              <w:rPr>
                <w:rFonts w:asciiTheme="minorHAnsi" w:eastAsiaTheme="minorEastAsia" w:hAnsiTheme="minorHAnsi" w:cstheme="minorBidi"/>
                <w:noProof/>
                <w:color w:val="auto"/>
                <w:szCs w:val="22"/>
                <w:lang w:eastAsia="en-GB"/>
              </w:rPr>
              <w:tab/>
            </w:r>
            <w:r>
              <w:rPr>
                <w:rStyle w:val="Hyperlink"/>
                <w:noProof/>
              </w:rPr>
              <w:t>Indirect land use change (ILUC)</w:t>
            </w:r>
            <w:r>
              <w:rPr>
                <w:noProof/>
                <w:webHidden/>
              </w:rPr>
              <w:tab/>
            </w:r>
            <w:r>
              <w:rPr>
                <w:noProof/>
                <w:webHidden/>
              </w:rPr>
              <w:fldChar w:fldCharType="begin"/>
            </w:r>
            <w:r>
              <w:rPr>
                <w:noProof/>
                <w:webHidden/>
              </w:rPr>
              <w:instrText xml:space="preserve"> PAGEREF _Toc516598344 \h </w:instrText>
            </w:r>
            <w:r>
              <w:rPr>
                <w:noProof/>
                <w:webHidden/>
              </w:rPr>
            </w:r>
            <w:r>
              <w:rPr>
                <w:noProof/>
                <w:webHidden/>
              </w:rPr>
              <w:fldChar w:fldCharType="separate"/>
            </w:r>
            <w:r>
              <w:rPr>
                <w:noProof/>
                <w:webHidden/>
              </w:rPr>
              <w:t>27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5" w:history="1">
            <w:r>
              <w:rPr>
                <w:rStyle w:val="Hyperlink"/>
                <w:noProof/>
              </w:rPr>
              <w:t>4.4.8</w:t>
            </w:r>
            <w:r>
              <w:rPr>
                <w:rFonts w:asciiTheme="minorHAnsi" w:eastAsiaTheme="minorEastAsia" w:hAnsiTheme="minorHAnsi" w:cstheme="minorBidi"/>
                <w:noProof/>
                <w:color w:val="auto"/>
                <w:szCs w:val="22"/>
                <w:lang w:eastAsia="en-GB"/>
              </w:rPr>
              <w:tab/>
            </w:r>
            <w:r>
              <w:rPr>
                <w:rStyle w:val="Hyperlink"/>
                <w:noProof/>
              </w:rPr>
              <w:t>Advanced Biofuels</w:t>
            </w:r>
            <w:r>
              <w:rPr>
                <w:noProof/>
                <w:webHidden/>
              </w:rPr>
              <w:tab/>
            </w:r>
            <w:r>
              <w:rPr>
                <w:noProof/>
                <w:webHidden/>
              </w:rPr>
              <w:fldChar w:fldCharType="begin"/>
            </w:r>
            <w:r>
              <w:rPr>
                <w:noProof/>
                <w:webHidden/>
              </w:rPr>
              <w:instrText xml:space="preserve"> PAGEREF _Toc516598345 \h </w:instrText>
            </w:r>
            <w:r>
              <w:rPr>
                <w:noProof/>
                <w:webHidden/>
              </w:rPr>
            </w:r>
            <w:r>
              <w:rPr>
                <w:noProof/>
                <w:webHidden/>
              </w:rPr>
              <w:fldChar w:fldCharType="separate"/>
            </w:r>
            <w:r>
              <w:rPr>
                <w:noProof/>
                <w:webHidden/>
              </w:rPr>
              <w:t>28</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46" w:history="1">
            <w:r>
              <w:rPr>
                <w:rStyle w:val="Hyperlink"/>
                <w:noProof/>
              </w:rPr>
              <w:t>5</w:t>
            </w:r>
            <w:r>
              <w:rPr>
                <w:rFonts w:asciiTheme="minorHAnsi" w:eastAsiaTheme="minorEastAsia" w:hAnsiTheme="minorHAnsi" w:cstheme="minorBidi"/>
                <w:b w:val="0"/>
                <w:caps w:val="0"/>
                <w:noProof/>
                <w:color w:val="auto"/>
                <w:szCs w:val="22"/>
                <w:lang w:eastAsia="en-GB"/>
              </w:rPr>
              <w:tab/>
            </w:r>
            <w:r>
              <w:rPr>
                <w:rStyle w:val="Hyperlink"/>
                <w:noProof/>
              </w:rPr>
              <w:t xml:space="preserve">EU-India Trade and cooperation on energy and </w:t>
            </w:r>
            <w:r>
              <w:rPr>
                <w:rStyle w:val="Hyperlink"/>
                <w:noProof/>
              </w:rPr>
              <w:t>science and technology</w:t>
            </w:r>
            <w:r>
              <w:rPr>
                <w:noProof/>
                <w:webHidden/>
              </w:rPr>
              <w:tab/>
            </w:r>
            <w:r>
              <w:rPr>
                <w:noProof/>
                <w:webHidden/>
              </w:rPr>
              <w:fldChar w:fldCharType="begin"/>
            </w:r>
            <w:r>
              <w:rPr>
                <w:noProof/>
                <w:webHidden/>
              </w:rPr>
              <w:instrText xml:space="preserve"> PAGEREF _Toc516598346 \h </w:instrText>
            </w:r>
            <w:r>
              <w:rPr>
                <w:noProof/>
                <w:webHidden/>
              </w:rPr>
            </w:r>
            <w:r>
              <w:rPr>
                <w:noProof/>
                <w:webHidden/>
              </w:rPr>
              <w:fldChar w:fldCharType="separate"/>
            </w:r>
            <w:r>
              <w:rPr>
                <w:noProof/>
                <w:webHidden/>
              </w:rPr>
              <w:t>29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47" w:history="1">
            <w:r>
              <w:rPr>
                <w:rStyle w:val="Hyperlink"/>
                <w:noProof/>
                <w14:scene3d>
                  <w14:camera w14:prst="orthographicFront"/>
                  <w14:lightRig w14:rig="threePt" w14:dir="t">
                    <w14:rot w14:lat="0" w14:lon="0" w14:rev="0"/>
                  </w14:lightRig>
                </w14:scene3d>
              </w:rPr>
              <w:t>5.1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_Toc516598347 \h </w:instrText>
            </w:r>
            <w:r>
              <w:rPr>
                <w:noProof/>
                <w:webHidden/>
              </w:rPr>
            </w:r>
            <w:r>
              <w:rPr>
                <w:noProof/>
                <w:webHidden/>
              </w:rPr>
              <w:fldChar w:fldCharType="separate"/>
            </w:r>
            <w:r>
              <w:rPr>
                <w:noProof/>
                <w:webHidden/>
              </w:rPr>
              <w:t>29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48" w:history="1">
            <w:r>
              <w:rPr>
                <w:rStyle w:val="Hyperlink"/>
                <w:noProof/>
                <w14:scene3d>
                  <w14:camera w14:prst="orthographicFront"/>
                  <w14:lightRig w14:rig="threePt" w14:dir="t">
                    <w14:rot w14:lat="0" w14:lon="0" w14:rev="0"/>
                  </w14:lightRig>
                </w14:scene3d>
              </w:rPr>
              <w:t>5.2</w:t>
            </w:r>
            <w:r>
              <w:rPr>
                <w:rFonts w:asciiTheme="minorHAnsi" w:eastAsiaTheme="minorEastAsia" w:hAnsiTheme="minorHAnsi" w:cstheme="minorBidi"/>
                <w:noProof/>
                <w:color w:val="auto"/>
                <w:szCs w:val="22"/>
                <w:lang w:eastAsia="en-GB"/>
              </w:rPr>
              <w:tab/>
            </w:r>
            <w:r>
              <w:rPr>
                <w:rStyle w:val="Hyperlink"/>
                <w:noProof/>
              </w:rPr>
              <w:t>Cooperation on Energy</w:t>
            </w:r>
            <w:r>
              <w:rPr>
                <w:noProof/>
                <w:webHidden/>
              </w:rPr>
              <w:tab/>
            </w:r>
            <w:r>
              <w:rPr>
                <w:noProof/>
                <w:webHidden/>
              </w:rPr>
              <w:fldChar w:fldCharType="begin"/>
            </w:r>
            <w:r>
              <w:rPr>
                <w:noProof/>
                <w:webHidden/>
              </w:rPr>
              <w:instrText xml:space="preserve"> PAGEREF _Toc516598348 \h </w:instrText>
            </w:r>
            <w:r>
              <w:rPr>
                <w:noProof/>
                <w:webHidden/>
              </w:rPr>
            </w:r>
            <w:r>
              <w:rPr>
                <w:noProof/>
                <w:webHidden/>
              </w:rPr>
              <w:fldChar w:fldCharType="separate"/>
            </w:r>
            <w:r>
              <w:rPr>
                <w:noProof/>
                <w:webHidden/>
              </w:rPr>
              <w:t>29</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49" w:history="1">
            <w:r>
              <w:rPr>
                <w:rStyle w:val="Hyperlink"/>
                <w:noProof/>
              </w:rPr>
              <w:t>5.2.1</w:t>
            </w:r>
            <w:r>
              <w:rPr>
                <w:rFonts w:asciiTheme="minorHAnsi" w:eastAsiaTheme="minorEastAsia" w:hAnsiTheme="minorHAnsi" w:cstheme="minorBidi"/>
                <w:noProof/>
                <w:color w:val="auto"/>
                <w:szCs w:val="22"/>
                <w:lang w:eastAsia="en-GB"/>
              </w:rPr>
              <w:tab/>
            </w:r>
            <w:r>
              <w:rPr>
                <w:rStyle w:val="Hyperlink"/>
                <w:noProof/>
              </w:rPr>
              <w:t>The EU-India Strategic Partnership</w:t>
            </w:r>
            <w:r>
              <w:rPr>
                <w:noProof/>
                <w:webHidden/>
              </w:rPr>
              <w:tab/>
            </w:r>
            <w:r>
              <w:rPr>
                <w:noProof/>
                <w:webHidden/>
              </w:rPr>
              <w:fldChar w:fldCharType="begin"/>
            </w:r>
            <w:r>
              <w:rPr>
                <w:noProof/>
                <w:webHidden/>
              </w:rPr>
              <w:instrText xml:space="preserve"> PAGEREF _Toc5165</w:instrText>
            </w:r>
            <w:r>
              <w:rPr>
                <w:noProof/>
                <w:webHidden/>
              </w:rPr>
              <w:instrText xml:space="preserve">98349 \h </w:instrText>
            </w:r>
            <w:r>
              <w:rPr>
                <w:noProof/>
                <w:webHidden/>
              </w:rPr>
            </w:r>
            <w:r>
              <w:rPr>
                <w:noProof/>
                <w:webHidden/>
              </w:rPr>
              <w:fldChar w:fldCharType="separate"/>
            </w:r>
            <w:r>
              <w:rPr>
                <w:noProof/>
                <w:webHidden/>
              </w:rPr>
              <w:t>29</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50" w:history="1">
            <w:r>
              <w:rPr>
                <w:rStyle w:val="Hyperlink"/>
                <w:noProof/>
                <w:lang w:eastAsia="sv-SE"/>
              </w:rPr>
              <w:t>5.2.2</w:t>
            </w:r>
            <w:r>
              <w:rPr>
                <w:rFonts w:asciiTheme="minorHAnsi" w:eastAsiaTheme="minorEastAsia" w:hAnsiTheme="minorHAnsi" w:cstheme="minorBidi"/>
                <w:noProof/>
                <w:color w:val="auto"/>
                <w:szCs w:val="22"/>
                <w:lang w:eastAsia="en-GB"/>
              </w:rPr>
              <w:tab/>
            </w:r>
            <w:r>
              <w:rPr>
                <w:rStyle w:val="Hyperlink"/>
                <w:noProof/>
                <w:lang w:eastAsia="sv-SE"/>
              </w:rPr>
              <w:t>The 2016 Summit on Indo-European Clean Energy and Climate Partnership</w:t>
            </w:r>
            <w:r>
              <w:rPr>
                <w:noProof/>
                <w:webHidden/>
              </w:rPr>
              <w:tab/>
            </w:r>
            <w:r>
              <w:rPr>
                <w:noProof/>
                <w:webHidden/>
              </w:rPr>
              <w:fldChar w:fldCharType="begin"/>
            </w:r>
            <w:r>
              <w:rPr>
                <w:noProof/>
                <w:webHidden/>
              </w:rPr>
              <w:instrText xml:space="preserve"> PAGEREF _Toc516598350 \h </w:instrText>
            </w:r>
            <w:r>
              <w:rPr>
                <w:noProof/>
                <w:webHidden/>
              </w:rPr>
            </w:r>
            <w:r>
              <w:rPr>
                <w:noProof/>
                <w:webHidden/>
              </w:rPr>
              <w:fldChar w:fldCharType="separate"/>
            </w:r>
            <w:r>
              <w:rPr>
                <w:noProof/>
                <w:webHidden/>
              </w:rPr>
              <w:t>30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51" w:history="1">
            <w:r>
              <w:rPr>
                <w:rStyle w:val="Hyperlink"/>
                <w:noProof/>
                <w:lang w:eastAsia="sv-SE"/>
              </w:rPr>
              <w:t>5.2.3</w:t>
            </w:r>
            <w:r>
              <w:rPr>
                <w:rFonts w:asciiTheme="minorHAnsi" w:eastAsiaTheme="minorEastAsia" w:hAnsiTheme="minorHAnsi" w:cstheme="minorBidi"/>
                <w:noProof/>
                <w:color w:val="auto"/>
                <w:szCs w:val="22"/>
                <w:lang w:eastAsia="en-GB"/>
              </w:rPr>
              <w:tab/>
            </w:r>
            <w:r>
              <w:rPr>
                <w:rStyle w:val="Hyperlink"/>
                <w:noProof/>
                <w:lang w:eastAsia="sv-SE"/>
              </w:rPr>
              <w:t>The EU-INDIA Joint Statement on Clean Energy &amp; Climate Change of 6 October  2017</w:t>
            </w:r>
            <w:r>
              <w:rPr>
                <w:noProof/>
                <w:webHidden/>
              </w:rPr>
              <w:tab/>
            </w:r>
            <w:r>
              <w:rPr>
                <w:noProof/>
                <w:webHidden/>
              </w:rPr>
              <w:fldChar w:fldCharType="begin"/>
            </w:r>
            <w:r>
              <w:rPr>
                <w:noProof/>
                <w:webHidden/>
              </w:rPr>
              <w:instrText xml:space="preserve"> PAGEREF _Toc516598351 \h </w:instrText>
            </w:r>
            <w:r>
              <w:rPr>
                <w:noProof/>
                <w:webHidden/>
              </w:rPr>
            </w:r>
            <w:r>
              <w:rPr>
                <w:noProof/>
                <w:webHidden/>
              </w:rPr>
              <w:fldChar w:fldCharType="separate"/>
            </w:r>
            <w:r>
              <w:rPr>
                <w:noProof/>
                <w:webHidden/>
              </w:rPr>
              <w:t>30</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52" w:history="1">
            <w:r>
              <w:rPr>
                <w:rStyle w:val="Hyperlink"/>
                <w:noProof/>
                <w14:scene3d>
                  <w14:camera w14:prst="orthographicFront"/>
                  <w14:lightRig w14:rig="threePt" w14:dir="t">
                    <w14:rot w14:lat="0" w14:lon="0" w14:rev="0"/>
                  </w14:lightRig>
                </w14:scene3d>
              </w:rPr>
              <w:t>5.3</w:t>
            </w:r>
            <w:r>
              <w:rPr>
                <w:rFonts w:asciiTheme="minorHAnsi" w:eastAsiaTheme="minorEastAsia" w:hAnsiTheme="minorHAnsi" w:cstheme="minorBidi"/>
                <w:noProof/>
                <w:color w:val="auto"/>
                <w:szCs w:val="22"/>
                <w:lang w:eastAsia="en-GB"/>
              </w:rPr>
              <w:tab/>
            </w:r>
            <w:r>
              <w:rPr>
                <w:rStyle w:val="Hyperlink"/>
                <w:noProof/>
              </w:rPr>
              <w:t>Cooperation on Science &amp; Technology</w:t>
            </w:r>
            <w:r>
              <w:rPr>
                <w:noProof/>
                <w:webHidden/>
              </w:rPr>
              <w:tab/>
            </w:r>
            <w:r>
              <w:rPr>
                <w:noProof/>
                <w:webHidden/>
              </w:rPr>
              <w:fldChar w:fldCharType="begin"/>
            </w:r>
            <w:r>
              <w:rPr>
                <w:noProof/>
                <w:webHidden/>
              </w:rPr>
              <w:instrText xml:space="preserve"> PAGEREF _Toc516598352 \h </w:instrText>
            </w:r>
            <w:r>
              <w:rPr>
                <w:noProof/>
                <w:webHidden/>
              </w:rPr>
            </w:r>
            <w:r>
              <w:rPr>
                <w:noProof/>
                <w:webHidden/>
              </w:rPr>
              <w:fldChar w:fldCharType="separate"/>
            </w:r>
            <w:r>
              <w:rPr>
                <w:noProof/>
                <w:webHidden/>
              </w:rPr>
              <w:t>31</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53" w:history="1">
            <w:r>
              <w:rPr>
                <w:rStyle w:val="Hyperlink"/>
                <w:noProof/>
                <w14:scene3d>
                  <w14:camera w14:prst="orthographicFront"/>
                  <w14:lightRig w14:rig="threePt" w14:dir="t">
                    <w14:rot w14:lat="0" w14:lon="0" w14:rev="0"/>
                  </w14:lightRig>
                </w14:scene3d>
              </w:rPr>
              <w:t>5.4</w:t>
            </w:r>
            <w:r>
              <w:rPr>
                <w:rFonts w:asciiTheme="minorHAnsi" w:eastAsiaTheme="minorEastAsia" w:hAnsiTheme="minorHAnsi" w:cstheme="minorBidi"/>
                <w:noProof/>
                <w:color w:val="auto"/>
                <w:szCs w:val="22"/>
                <w:lang w:eastAsia="en-GB"/>
              </w:rPr>
              <w:tab/>
            </w:r>
            <w:r>
              <w:rPr>
                <w:rStyle w:val="Hyperlink"/>
                <w:noProof/>
              </w:rPr>
              <w:t>Trade issues and opportu</w:t>
            </w:r>
            <w:r>
              <w:rPr>
                <w:rStyle w:val="Hyperlink"/>
                <w:noProof/>
              </w:rPr>
              <w:t>nities</w:t>
            </w:r>
            <w:r>
              <w:rPr>
                <w:noProof/>
                <w:webHidden/>
              </w:rPr>
              <w:tab/>
            </w:r>
            <w:r>
              <w:rPr>
                <w:noProof/>
                <w:webHidden/>
              </w:rPr>
              <w:fldChar w:fldCharType="begin"/>
            </w:r>
            <w:r>
              <w:rPr>
                <w:noProof/>
                <w:webHidden/>
              </w:rPr>
              <w:instrText xml:space="preserve"> PAGEREF _Toc516598353 \h </w:instrText>
            </w:r>
            <w:r>
              <w:rPr>
                <w:noProof/>
                <w:webHidden/>
              </w:rPr>
            </w:r>
            <w:r>
              <w:rPr>
                <w:noProof/>
                <w:webHidden/>
              </w:rPr>
              <w:fldChar w:fldCharType="separate"/>
            </w:r>
            <w:r>
              <w:rPr>
                <w:noProof/>
                <w:webHidden/>
              </w:rPr>
              <w:t>32</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54" w:history="1">
            <w:r>
              <w:rPr>
                <w:rStyle w:val="Hyperlink"/>
                <w:noProof/>
              </w:rPr>
              <w:t>6</w:t>
            </w:r>
            <w:r>
              <w:rPr>
                <w:rFonts w:asciiTheme="minorHAnsi" w:eastAsiaTheme="minorEastAsia" w:hAnsiTheme="minorHAnsi" w:cstheme="minorBidi"/>
                <w:b w:val="0"/>
                <w:caps w:val="0"/>
                <w:noProof/>
                <w:color w:val="auto"/>
                <w:szCs w:val="22"/>
                <w:lang w:eastAsia="en-GB"/>
              </w:rPr>
              <w:tab/>
            </w:r>
            <w:r>
              <w:rPr>
                <w:rStyle w:val="Hyperlink"/>
                <w:noProof/>
              </w:rPr>
              <w:t>Cost of biofuels</w:t>
            </w:r>
            <w:r>
              <w:rPr>
                <w:noProof/>
                <w:webHidden/>
              </w:rPr>
              <w:tab/>
            </w:r>
            <w:r>
              <w:rPr>
                <w:noProof/>
                <w:webHidden/>
              </w:rPr>
              <w:fldChar w:fldCharType="begin"/>
            </w:r>
            <w:r>
              <w:rPr>
                <w:noProof/>
                <w:webHidden/>
              </w:rPr>
              <w:instrText xml:space="preserve"> PAGEREF _Toc516598354 \h </w:instrText>
            </w:r>
            <w:r>
              <w:rPr>
                <w:noProof/>
                <w:webHidden/>
              </w:rPr>
            </w:r>
            <w:r>
              <w:rPr>
                <w:noProof/>
                <w:webHidden/>
              </w:rPr>
              <w:fldChar w:fldCharType="separate"/>
            </w:r>
            <w:r>
              <w:rPr>
                <w:noProof/>
                <w:webHidden/>
              </w:rPr>
              <w:t>34</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55" w:history="1">
            <w:r>
              <w:rPr>
                <w:rStyle w:val="Hyperlink"/>
                <w:noProof/>
              </w:rPr>
              <w:t>7</w:t>
            </w:r>
            <w:r>
              <w:rPr>
                <w:rFonts w:asciiTheme="minorHAnsi" w:eastAsiaTheme="minorEastAsia" w:hAnsiTheme="minorHAnsi" w:cstheme="minorBidi"/>
                <w:b w:val="0"/>
                <w:caps w:val="0"/>
                <w:noProof/>
                <w:color w:val="auto"/>
                <w:szCs w:val="22"/>
                <w:lang w:eastAsia="en-GB"/>
              </w:rPr>
              <w:tab/>
            </w:r>
            <w:r>
              <w:rPr>
                <w:rStyle w:val="Hyperlink"/>
                <w:noProof/>
              </w:rPr>
              <w:t>Technology availability and readiness for advanced biofuels</w:t>
            </w:r>
            <w:r>
              <w:rPr>
                <w:noProof/>
                <w:webHidden/>
              </w:rPr>
              <w:tab/>
            </w:r>
            <w:r>
              <w:rPr>
                <w:noProof/>
                <w:webHidden/>
              </w:rPr>
              <w:fldChar w:fldCharType="begin"/>
            </w:r>
            <w:r>
              <w:rPr>
                <w:noProof/>
                <w:webHidden/>
              </w:rPr>
              <w:instrText xml:space="preserve"> PAGEREF _Toc516598355 \h </w:instrText>
            </w:r>
            <w:r>
              <w:rPr>
                <w:noProof/>
                <w:webHidden/>
              </w:rPr>
            </w:r>
            <w:r>
              <w:rPr>
                <w:noProof/>
                <w:webHidden/>
              </w:rPr>
              <w:fldChar w:fldCharType="separate"/>
            </w:r>
            <w:r>
              <w:rPr>
                <w:noProof/>
                <w:webHidden/>
              </w:rPr>
              <w:t>37</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56" w:history="1">
            <w:r>
              <w:rPr>
                <w:rStyle w:val="Hyperlink"/>
                <w:noProof/>
                <w14:scene3d>
                  <w14:camera w14:prst="orthographicFront"/>
                  <w14:lightRig w14:rig="threePt" w14:dir="t">
                    <w14:rot w14:lat="0" w14:lon="0" w14:rev="0"/>
                  </w14:lightRig>
                </w14:scene3d>
              </w:rPr>
              <w:t>7.1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_Toc516598356 \h </w:instrText>
            </w:r>
            <w:r>
              <w:rPr>
                <w:noProof/>
                <w:webHidden/>
              </w:rPr>
            </w:r>
            <w:r>
              <w:rPr>
                <w:noProof/>
                <w:webHidden/>
              </w:rPr>
              <w:fldChar w:fldCharType="separate"/>
            </w:r>
            <w:r>
              <w:rPr>
                <w:noProof/>
                <w:webHidden/>
              </w:rPr>
              <w:t>37</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57" w:history="1">
            <w:r>
              <w:rPr>
                <w:rStyle w:val="Hyperlink"/>
                <w:noProof/>
                <w14:scene3d>
                  <w14:camera w14:prst="orthographicFront"/>
                  <w14:lightRig w14:rig="threePt" w14:dir="t">
                    <w14:rot w14:lat="0" w14:lon="0" w14:rev="0"/>
                  </w14:lightRig>
                </w14:scene3d>
              </w:rPr>
              <w:t>7.2</w:t>
            </w:r>
            <w:r>
              <w:rPr>
                <w:rFonts w:asciiTheme="minorHAnsi" w:eastAsiaTheme="minorEastAsia" w:hAnsiTheme="minorHAnsi" w:cstheme="minorBidi"/>
                <w:noProof/>
                <w:color w:val="auto"/>
                <w:szCs w:val="22"/>
                <w:lang w:eastAsia="en-GB"/>
              </w:rPr>
              <w:tab/>
            </w:r>
            <w:r>
              <w:rPr>
                <w:rStyle w:val="Hyperlink"/>
                <w:noProof/>
              </w:rPr>
              <w:t>Thermal Processing</w:t>
            </w:r>
            <w:r>
              <w:rPr>
                <w:noProof/>
                <w:webHidden/>
              </w:rPr>
              <w:tab/>
            </w:r>
            <w:r>
              <w:rPr>
                <w:noProof/>
                <w:webHidden/>
              </w:rPr>
              <w:fldChar w:fldCharType="begin"/>
            </w:r>
            <w:r>
              <w:rPr>
                <w:noProof/>
                <w:webHidden/>
              </w:rPr>
              <w:instrText xml:space="preserve"> PAGEREF _Toc516598357 \h </w:instrText>
            </w:r>
            <w:r>
              <w:rPr>
                <w:noProof/>
                <w:webHidden/>
              </w:rPr>
            </w:r>
            <w:r>
              <w:rPr>
                <w:noProof/>
                <w:webHidden/>
              </w:rPr>
              <w:fldChar w:fldCharType="separate"/>
            </w:r>
            <w:r>
              <w:rPr>
                <w:noProof/>
                <w:webHidden/>
              </w:rPr>
              <w:t>37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58" w:history="1">
            <w:r>
              <w:rPr>
                <w:rStyle w:val="Hyperlink"/>
                <w:noProof/>
                <w:lang w:eastAsia="sv-SE"/>
              </w:rPr>
              <w:t>7.2.1</w:t>
            </w:r>
            <w:r>
              <w:rPr>
                <w:rFonts w:asciiTheme="minorHAnsi" w:eastAsiaTheme="minorEastAsia" w:hAnsiTheme="minorHAnsi" w:cstheme="minorBidi"/>
                <w:noProof/>
                <w:color w:val="auto"/>
                <w:szCs w:val="22"/>
                <w:lang w:eastAsia="en-GB"/>
              </w:rPr>
              <w:tab/>
            </w:r>
            <w:r>
              <w:rPr>
                <w:rStyle w:val="Hyperlink"/>
                <w:noProof/>
              </w:rPr>
              <w:t>Gasification</w:t>
            </w:r>
            <w:r>
              <w:rPr>
                <w:noProof/>
                <w:webHidden/>
              </w:rPr>
              <w:tab/>
            </w:r>
            <w:r>
              <w:rPr>
                <w:noProof/>
                <w:webHidden/>
              </w:rPr>
              <w:fldChar w:fldCharType="begin"/>
            </w:r>
            <w:r>
              <w:rPr>
                <w:noProof/>
                <w:webHidden/>
              </w:rPr>
              <w:instrText xml:space="preserve"> PAGEREF _Toc516598358 \h </w:instrText>
            </w:r>
            <w:r>
              <w:rPr>
                <w:noProof/>
                <w:webHidden/>
              </w:rPr>
            </w:r>
            <w:r>
              <w:rPr>
                <w:noProof/>
                <w:webHidden/>
              </w:rPr>
              <w:fldChar w:fldCharType="separate"/>
            </w:r>
            <w:r>
              <w:rPr>
                <w:noProof/>
                <w:webHidden/>
              </w:rPr>
              <w:t>37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59" w:history="1">
            <w:r>
              <w:rPr>
                <w:rStyle w:val="Hyperlink"/>
                <w:noProof/>
                <w:lang w:eastAsia="sv-SE"/>
              </w:rPr>
              <w:t>7.2.2</w:t>
            </w:r>
            <w:r>
              <w:rPr>
                <w:rFonts w:asciiTheme="minorHAnsi" w:eastAsiaTheme="minorEastAsia" w:hAnsiTheme="minorHAnsi" w:cstheme="minorBidi"/>
                <w:noProof/>
                <w:color w:val="auto"/>
                <w:szCs w:val="22"/>
                <w:lang w:eastAsia="en-GB"/>
              </w:rPr>
              <w:tab/>
            </w:r>
            <w:r>
              <w:rPr>
                <w:rStyle w:val="Hyperlink"/>
                <w:noProof/>
                <w:lang w:eastAsia="sv-SE"/>
              </w:rPr>
              <w:t>Fast Pyrolysis</w:t>
            </w:r>
            <w:r>
              <w:rPr>
                <w:noProof/>
                <w:webHidden/>
              </w:rPr>
              <w:tab/>
            </w:r>
            <w:r>
              <w:rPr>
                <w:noProof/>
                <w:webHidden/>
              </w:rPr>
              <w:fldChar w:fldCharType="begin"/>
            </w:r>
            <w:r>
              <w:rPr>
                <w:noProof/>
                <w:webHidden/>
              </w:rPr>
              <w:instrText xml:space="preserve"> PAGEREF _Toc516598359 \h </w:instrText>
            </w:r>
            <w:r>
              <w:rPr>
                <w:noProof/>
                <w:webHidden/>
              </w:rPr>
            </w:r>
            <w:r>
              <w:rPr>
                <w:noProof/>
                <w:webHidden/>
              </w:rPr>
              <w:fldChar w:fldCharType="separate"/>
            </w:r>
            <w:r>
              <w:rPr>
                <w:noProof/>
                <w:webHidden/>
              </w:rPr>
              <w:t>37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60" w:history="1">
            <w:r>
              <w:rPr>
                <w:rStyle w:val="Hyperlink"/>
                <w:noProof/>
                <w:lang w:eastAsia="sv-SE"/>
              </w:rPr>
              <w:t>7.2.3</w:t>
            </w:r>
            <w:r>
              <w:rPr>
                <w:rFonts w:asciiTheme="minorHAnsi" w:eastAsiaTheme="minorEastAsia" w:hAnsiTheme="minorHAnsi" w:cstheme="minorBidi"/>
                <w:noProof/>
                <w:color w:val="auto"/>
                <w:szCs w:val="22"/>
                <w:lang w:eastAsia="en-GB"/>
              </w:rPr>
              <w:tab/>
            </w:r>
            <w:r>
              <w:rPr>
                <w:rStyle w:val="Hyperlink"/>
                <w:noProof/>
                <w:lang w:eastAsia="sv-SE"/>
              </w:rPr>
              <w:t>Hydrotreated Vegetable Oils (HVO)</w:t>
            </w:r>
            <w:r>
              <w:rPr>
                <w:noProof/>
                <w:webHidden/>
              </w:rPr>
              <w:tab/>
            </w:r>
            <w:r>
              <w:rPr>
                <w:noProof/>
                <w:webHidden/>
              </w:rPr>
              <w:fldChar w:fldCharType="begin"/>
            </w:r>
            <w:r>
              <w:rPr>
                <w:noProof/>
                <w:webHidden/>
              </w:rPr>
              <w:instrText xml:space="preserve"> PAGEREF _Toc516598360 \h </w:instrText>
            </w:r>
            <w:r>
              <w:rPr>
                <w:noProof/>
                <w:webHidden/>
              </w:rPr>
            </w:r>
            <w:r>
              <w:rPr>
                <w:noProof/>
                <w:webHidden/>
              </w:rPr>
              <w:fldChar w:fldCharType="separate"/>
            </w:r>
            <w:r>
              <w:rPr>
                <w:noProof/>
                <w:webHidden/>
              </w:rPr>
              <w:t>38</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1" w:history="1">
            <w:r>
              <w:rPr>
                <w:rStyle w:val="Hyperlink"/>
                <w:noProof/>
                <w14:scene3d>
                  <w14:camera w14:prst="orthographicFront"/>
                  <w14:lightRig w14:rig="threePt" w14:dir="t">
                    <w14:rot w14:lat="0" w14:lon="0" w14:rev="0"/>
                  </w14:lightRig>
                </w14:scene3d>
              </w:rPr>
              <w:t>7.3</w:t>
            </w:r>
            <w:r>
              <w:rPr>
                <w:rFonts w:asciiTheme="minorHAnsi" w:eastAsiaTheme="minorEastAsia" w:hAnsiTheme="minorHAnsi" w:cstheme="minorBidi"/>
                <w:noProof/>
                <w:color w:val="auto"/>
                <w:szCs w:val="22"/>
                <w:lang w:eastAsia="en-GB"/>
              </w:rPr>
              <w:tab/>
            </w:r>
            <w:r>
              <w:rPr>
                <w:rStyle w:val="Hyperlink"/>
                <w:noProof/>
              </w:rPr>
              <w:t>Biological Conversion</w:t>
            </w:r>
            <w:r>
              <w:rPr>
                <w:noProof/>
                <w:webHidden/>
              </w:rPr>
              <w:tab/>
            </w:r>
            <w:r>
              <w:rPr>
                <w:noProof/>
                <w:webHidden/>
              </w:rPr>
              <w:fldChar w:fldCharType="begin"/>
            </w:r>
            <w:r>
              <w:rPr>
                <w:noProof/>
                <w:webHidden/>
              </w:rPr>
              <w:instrText xml:space="preserve"> PAGEREF _Toc516598361 \h </w:instrText>
            </w:r>
            <w:r>
              <w:rPr>
                <w:noProof/>
                <w:webHidden/>
              </w:rPr>
            </w:r>
            <w:r>
              <w:rPr>
                <w:noProof/>
                <w:webHidden/>
              </w:rPr>
              <w:fldChar w:fldCharType="separate"/>
            </w:r>
            <w:r>
              <w:rPr>
                <w:noProof/>
                <w:webHidden/>
              </w:rPr>
              <w:t>38</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62" w:history="1">
            <w:r>
              <w:rPr>
                <w:rStyle w:val="Hyperlink"/>
                <w:noProof/>
                <w:lang w:eastAsia="sv-SE"/>
              </w:rPr>
              <w:t>7.</w:t>
            </w:r>
            <w:r>
              <w:rPr>
                <w:rStyle w:val="Hyperlink"/>
                <w:noProof/>
                <w:lang w:eastAsia="sv-SE"/>
              </w:rPr>
              <w:t>3.1</w:t>
            </w:r>
            <w:r>
              <w:rPr>
                <w:rFonts w:asciiTheme="minorHAnsi" w:eastAsiaTheme="minorEastAsia" w:hAnsiTheme="minorHAnsi" w:cstheme="minorBidi"/>
                <w:noProof/>
                <w:color w:val="auto"/>
                <w:szCs w:val="22"/>
                <w:lang w:eastAsia="en-GB"/>
              </w:rPr>
              <w:tab/>
            </w:r>
            <w:r>
              <w:rPr>
                <w:rStyle w:val="Hyperlink"/>
                <w:noProof/>
                <w:lang w:eastAsia="sv-SE"/>
              </w:rPr>
              <w:t>Cellulosic Alcohols</w:t>
            </w:r>
            <w:r>
              <w:rPr>
                <w:noProof/>
                <w:webHidden/>
              </w:rPr>
              <w:tab/>
            </w:r>
            <w:r>
              <w:rPr>
                <w:noProof/>
                <w:webHidden/>
              </w:rPr>
              <w:fldChar w:fldCharType="begin"/>
            </w:r>
            <w:r>
              <w:rPr>
                <w:noProof/>
                <w:webHidden/>
              </w:rPr>
              <w:instrText xml:space="preserve"> PAGEREF _Toc516598362 \h </w:instrText>
            </w:r>
            <w:r>
              <w:rPr>
                <w:noProof/>
                <w:webHidden/>
              </w:rPr>
            </w:r>
            <w:r>
              <w:rPr>
                <w:noProof/>
                <w:webHidden/>
              </w:rPr>
              <w:fldChar w:fldCharType="separate"/>
            </w:r>
            <w:r>
              <w:rPr>
                <w:noProof/>
                <w:webHidden/>
              </w:rPr>
              <w:t>38</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63" w:history="1">
            <w:r>
              <w:rPr>
                <w:rStyle w:val="Hyperlink"/>
                <w:noProof/>
                <w:lang w:eastAsia="sv-SE"/>
              </w:rPr>
              <w:t>7.3.2</w:t>
            </w:r>
            <w:r>
              <w:rPr>
                <w:rFonts w:asciiTheme="minorHAnsi" w:eastAsiaTheme="minorEastAsia" w:hAnsiTheme="minorHAnsi" w:cstheme="minorBidi"/>
                <w:noProof/>
                <w:color w:val="auto"/>
                <w:szCs w:val="22"/>
                <w:lang w:eastAsia="en-GB"/>
              </w:rPr>
              <w:tab/>
            </w:r>
            <w:r>
              <w:rPr>
                <w:rStyle w:val="Hyperlink"/>
                <w:noProof/>
                <w:lang w:eastAsia="sv-SE"/>
              </w:rPr>
              <w:t>Biomethane</w:t>
            </w:r>
            <w:r>
              <w:rPr>
                <w:noProof/>
                <w:webHidden/>
              </w:rPr>
              <w:tab/>
            </w:r>
            <w:r>
              <w:rPr>
                <w:noProof/>
                <w:webHidden/>
              </w:rPr>
              <w:fldChar w:fldCharType="begin"/>
            </w:r>
            <w:r>
              <w:rPr>
                <w:noProof/>
                <w:webHidden/>
              </w:rPr>
              <w:instrText xml:space="preserve"> PAGEREF _Toc516598363 \h </w:instrText>
            </w:r>
            <w:r>
              <w:rPr>
                <w:noProof/>
                <w:webHidden/>
              </w:rPr>
            </w:r>
            <w:r>
              <w:rPr>
                <w:noProof/>
                <w:webHidden/>
              </w:rPr>
              <w:fldChar w:fldCharType="separate"/>
            </w:r>
            <w:r>
              <w:rPr>
                <w:noProof/>
                <w:webHidden/>
              </w:rPr>
              <w:t>39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4" w:history="1">
            <w:r>
              <w:rPr>
                <w:rStyle w:val="Hyperlink"/>
                <w:noProof/>
                <w14:scene3d>
                  <w14:camera w14:prst="orthographicFront"/>
                  <w14:lightRig w14:rig="threePt" w14:dir="t">
                    <w14:rot w14:lat="0" w14:lon="0" w14:rev="0"/>
                  </w14:lightRig>
                </w14:scene3d>
              </w:rPr>
              <w:t>7.4</w:t>
            </w:r>
            <w:r>
              <w:rPr>
                <w:rFonts w:asciiTheme="minorHAnsi" w:eastAsiaTheme="minorEastAsia" w:hAnsiTheme="minorHAnsi" w:cstheme="minorBidi"/>
                <w:noProof/>
                <w:color w:val="auto"/>
                <w:szCs w:val="22"/>
                <w:lang w:eastAsia="en-GB"/>
              </w:rPr>
              <w:tab/>
            </w:r>
            <w:r>
              <w:rPr>
                <w:rStyle w:val="Hyperlink"/>
                <w:noProof/>
              </w:rPr>
              <w:t>Algae</w:t>
            </w:r>
            <w:r>
              <w:rPr>
                <w:noProof/>
                <w:webHidden/>
              </w:rPr>
              <w:tab/>
            </w:r>
            <w:r>
              <w:rPr>
                <w:noProof/>
                <w:webHidden/>
              </w:rPr>
              <w:fldChar w:fldCharType="begin"/>
            </w:r>
            <w:r>
              <w:rPr>
                <w:noProof/>
                <w:webHidden/>
              </w:rPr>
              <w:instrText xml:space="preserve"> PAGEREF _Toc516598364 \h </w:instrText>
            </w:r>
            <w:r>
              <w:rPr>
                <w:noProof/>
                <w:webHidden/>
              </w:rPr>
            </w:r>
            <w:r>
              <w:rPr>
                <w:noProof/>
                <w:webHidden/>
              </w:rPr>
              <w:fldChar w:fldCharType="separate"/>
            </w:r>
            <w:r>
              <w:rPr>
                <w:noProof/>
                <w:webHidden/>
              </w:rPr>
              <w:t>39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5" w:history="1">
            <w:r>
              <w:rPr>
                <w:rStyle w:val="Hyperlink"/>
                <w:noProof/>
                <w14:scene3d>
                  <w14:camera w14:prst="orthographicFront"/>
                  <w14:lightRig w14:rig="threePt" w14:dir="t">
                    <w14:rot w14:lat="0" w14:lon="0" w14:rev="0"/>
                  </w14:lightRig>
                </w14:scene3d>
              </w:rPr>
              <w:t>7.5</w:t>
            </w:r>
            <w:r>
              <w:rPr>
                <w:rFonts w:asciiTheme="minorHAnsi" w:eastAsiaTheme="minorEastAsia" w:hAnsiTheme="minorHAnsi" w:cstheme="minorBidi"/>
                <w:noProof/>
                <w:color w:val="auto"/>
                <w:szCs w:val="22"/>
                <w:lang w:eastAsia="en-GB"/>
              </w:rPr>
              <w:tab/>
            </w:r>
            <w:r>
              <w:rPr>
                <w:rStyle w:val="Hyperlink"/>
                <w:noProof/>
              </w:rPr>
              <w:t>Power to X</w:t>
            </w:r>
            <w:r>
              <w:rPr>
                <w:noProof/>
                <w:webHidden/>
              </w:rPr>
              <w:tab/>
            </w:r>
            <w:r>
              <w:rPr>
                <w:noProof/>
                <w:webHidden/>
              </w:rPr>
              <w:fldChar w:fldCharType="begin"/>
            </w:r>
            <w:r>
              <w:rPr>
                <w:noProof/>
                <w:webHidden/>
              </w:rPr>
              <w:instrText xml:space="preserve"> PAGEREF _Toc516598365 \h </w:instrText>
            </w:r>
            <w:r>
              <w:rPr>
                <w:noProof/>
                <w:webHidden/>
              </w:rPr>
            </w:r>
            <w:r>
              <w:rPr>
                <w:noProof/>
                <w:webHidden/>
              </w:rPr>
              <w:fldChar w:fldCharType="separate"/>
            </w:r>
            <w:r>
              <w:rPr>
                <w:noProof/>
                <w:webHidden/>
              </w:rPr>
              <w:t>39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6" w:history="1">
            <w:r>
              <w:rPr>
                <w:rStyle w:val="Hyperlink"/>
                <w:noProof/>
                <w14:scene3d>
                  <w14:camera w14:prst="orthographicFront"/>
                  <w14:lightRig w14:rig="threePt" w14:dir="t">
                    <w14:rot w14:lat="0" w14:lon="0" w14:rev="0"/>
                  </w14:lightRig>
                </w14:scene3d>
              </w:rPr>
              <w:t>7.6</w:t>
            </w:r>
            <w:r>
              <w:rPr>
                <w:rFonts w:asciiTheme="minorHAnsi" w:eastAsiaTheme="minorEastAsia" w:hAnsiTheme="minorHAnsi" w:cstheme="minorBidi"/>
                <w:noProof/>
                <w:color w:val="auto"/>
                <w:szCs w:val="22"/>
                <w:lang w:eastAsia="en-GB"/>
              </w:rPr>
              <w:tab/>
            </w:r>
            <w:r>
              <w:rPr>
                <w:rStyle w:val="Hyperlink"/>
                <w:noProof/>
              </w:rPr>
              <w:t>Carbon Cap</w:t>
            </w:r>
            <w:r>
              <w:rPr>
                <w:rStyle w:val="Hyperlink"/>
                <w:noProof/>
              </w:rPr>
              <w:t>ture and Utilisation (CCU)</w:t>
            </w:r>
            <w:r>
              <w:rPr>
                <w:noProof/>
                <w:webHidden/>
              </w:rPr>
              <w:tab/>
            </w:r>
            <w:r>
              <w:rPr>
                <w:noProof/>
                <w:webHidden/>
              </w:rPr>
              <w:fldChar w:fldCharType="begin"/>
            </w:r>
            <w:r>
              <w:rPr>
                <w:noProof/>
                <w:webHidden/>
              </w:rPr>
              <w:instrText xml:space="preserve"> PAGEREF _Toc516598366 \h </w:instrText>
            </w:r>
            <w:r>
              <w:rPr>
                <w:noProof/>
                <w:webHidden/>
              </w:rPr>
            </w:r>
            <w:r>
              <w:rPr>
                <w:noProof/>
                <w:webHidden/>
              </w:rPr>
              <w:fldChar w:fldCharType="separate"/>
            </w:r>
            <w:r>
              <w:rPr>
                <w:noProof/>
                <w:webHidden/>
              </w:rPr>
              <w:t>40</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67" w:history="1">
            <w:r>
              <w:rPr>
                <w:rStyle w:val="Hyperlink"/>
                <w:noProof/>
                <w:lang w:eastAsia="sv-SE"/>
              </w:rPr>
              <w:t>8</w:t>
            </w:r>
            <w:r>
              <w:rPr>
                <w:rFonts w:asciiTheme="minorHAnsi" w:eastAsiaTheme="minorEastAsia" w:hAnsiTheme="minorHAnsi" w:cstheme="minorBidi"/>
                <w:b w:val="0"/>
                <w:caps w:val="0"/>
                <w:noProof/>
                <w:color w:val="auto"/>
                <w:szCs w:val="22"/>
                <w:lang w:eastAsia="en-GB"/>
              </w:rPr>
              <w:tab/>
            </w:r>
            <w:r>
              <w:rPr>
                <w:rStyle w:val="Hyperlink"/>
                <w:noProof/>
                <w:lang w:eastAsia="sv-SE"/>
              </w:rPr>
              <w:t>Financing mechanisms for demonstration plants in the TRL range of  6-9</w:t>
            </w:r>
            <w:r>
              <w:rPr>
                <w:noProof/>
                <w:webHidden/>
              </w:rPr>
              <w:tab/>
            </w:r>
            <w:r>
              <w:rPr>
                <w:noProof/>
                <w:webHidden/>
              </w:rPr>
              <w:tab/>
            </w:r>
            <w:r>
              <w:rPr>
                <w:noProof/>
                <w:webHidden/>
              </w:rPr>
              <w:fldChar w:fldCharType="begin"/>
            </w:r>
            <w:r>
              <w:rPr>
                <w:noProof/>
                <w:webHidden/>
              </w:rPr>
              <w:instrText xml:space="preserve"> PAGEREF _Toc516598367 \h </w:instrText>
            </w:r>
            <w:r>
              <w:rPr>
                <w:noProof/>
                <w:webHidden/>
              </w:rPr>
            </w:r>
            <w:r>
              <w:rPr>
                <w:noProof/>
                <w:webHidden/>
              </w:rPr>
              <w:fldChar w:fldCharType="separate"/>
            </w:r>
            <w:r>
              <w:rPr>
                <w:noProof/>
                <w:webHidden/>
              </w:rPr>
              <w:t>41</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8" w:history="1">
            <w:r>
              <w:rPr>
                <w:rStyle w:val="Hyperlink"/>
                <w:noProof/>
                <w14:scene3d>
                  <w14:camera w14:prst="orthographicFront"/>
                  <w14:lightRig w14:rig="threePt" w14:dir="t">
                    <w14:rot w14:lat="0" w14:lon="0" w14:rev="0"/>
                  </w14:lightRig>
                </w14:scene3d>
              </w:rPr>
              <w:t>8.1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_Toc516598368 \h </w:instrText>
            </w:r>
            <w:r>
              <w:rPr>
                <w:noProof/>
                <w:webHidden/>
              </w:rPr>
            </w:r>
            <w:r>
              <w:rPr>
                <w:noProof/>
                <w:webHidden/>
              </w:rPr>
              <w:fldChar w:fldCharType="separate"/>
            </w:r>
            <w:r>
              <w:rPr>
                <w:noProof/>
                <w:webHidden/>
              </w:rPr>
              <w:t>41</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69" w:history="1">
            <w:r>
              <w:rPr>
                <w:rStyle w:val="Hyperlink"/>
                <w:noProof/>
                <w14:scene3d>
                  <w14:camera w14:prst="orthographicFront"/>
                  <w14:lightRig w14:rig="threePt" w14:dir="t">
                    <w14:rot w14:lat="0" w14:lon="0" w14:rev="0"/>
                  </w14:lightRig>
                </w14:scene3d>
              </w:rPr>
              <w:t>8.2</w:t>
            </w:r>
            <w:r>
              <w:rPr>
                <w:rFonts w:asciiTheme="minorHAnsi" w:eastAsiaTheme="minorEastAsia" w:hAnsiTheme="minorHAnsi" w:cstheme="minorBidi"/>
                <w:noProof/>
                <w:color w:val="auto"/>
                <w:szCs w:val="22"/>
                <w:lang w:eastAsia="en-GB"/>
              </w:rPr>
              <w:tab/>
            </w:r>
            <w:r>
              <w:rPr>
                <w:rStyle w:val="Hyperlink"/>
                <w:noProof/>
              </w:rPr>
              <w:t>Fi</w:t>
            </w:r>
            <w:r>
              <w:rPr>
                <w:rStyle w:val="Hyperlink"/>
                <w:noProof/>
              </w:rPr>
              <w:t>nancing mechanisms in the EU</w:t>
            </w:r>
            <w:r>
              <w:rPr>
                <w:noProof/>
                <w:webHidden/>
              </w:rPr>
              <w:tab/>
            </w:r>
            <w:r>
              <w:rPr>
                <w:noProof/>
                <w:webHidden/>
              </w:rPr>
              <w:fldChar w:fldCharType="begin"/>
            </w:r>
            <w:r>
              <w:rPr>
                <w:noProof/>
                <w:webHidden/>
              </w:rPr>
              <w:instrText xml:space="preserve"> PAGEREF _Toc516598369 \h </w:instrText>
            </w:r>
            <w:r>
              <w:rPr>
                <w:noProof/>
                <w:webHidden/>
              </w:rPr>
            </w:r>
            <w:r>
              <w:rPr>
                <w:noProof/>
                <w:webHidden/>
              </w:rPr>
              <w:fldChar w:fldCharType="separate"/>
            </w:r>
            <w:r>
              <w:rPr>
                <w:noProof/>
                <w:webHidden/>
              </w:rPr>
              <w:t>41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70" w:history="1">
            <w:r>
              <w:rPr>
                <w:rStyle w:val="Hyperlink"/>
                <w:noProof/>
              </w:rPr>
              <w:t>8.2.1</w:t>
            </w:r>
            <w:r>
              <w:rPr>
                <w:rFonts w:asciiTheme="minorHAnsi" w:eastAsiaTheme="minorEastAsia" w:hAnsiTheme="minorHAnsi" w:cstheme="minorBidi"/>
                <w:noProof/>
                <w:color w:val="auto"/>
                <w:szCs w:val="22"/>
                <w:lang w:eastAsia="en-GB"/>
              </w:rPr>
              <w:tab/>
            </w:r>
            <w:r>
              <w:rPr>
                <w:rStyle w:val="Hyperlink"/>
                <w:noProof/>
              </w:rPr>
              <w:t>Seventh Framework Programme (FP7)</w:t>
            </w:r>
            <w:r>
              <w:rPr>
                <w:noProof/>
                <w:webHidden/>
              </w:rPr>
              <w:tab/>
            </w:r>
            <w:r>
              <w:rPr>
                <w:noProof/>
                <w:webHidden/>
              </w:rPr>
              <w:fldChar w:fldCharType="begin"/>
            </w:r>
            <w:r>
              <w:rPr>
                <w:noProof/>
                <w:webHidden/>
              </w:rPr>
              <w:instrText xml:space="preserve"> PAGEREF _Toc516598370 \h </w:instrText>
            </w:r>
            <w:r>
              <w:rPr>
                <w:noProof/>
                <w:webHidden/>
              </w:rPr>
            </w:r>
            <w:r>
              <w:rPr>
                <w:noProof/>
                <w:webHidden/>
              </w:rPr>
              <w:fldChar w:fldCharType="separate"/>
            </w:r>
            <w:r>
              <w:rPr>
                <w:noProof/>
                <w:webHidden/>
              </w:rPr>
              <w:t>41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71" w:history="1">
            <w:r>
              <w:rPr>
                <w:rStyle w:val="Hyperlink"/>
                <w:noProof/>
              </w:rPr>
              <w:t>8.2.2</w:t>
            </w:r>
            <w:r>
              <w:rPr>
                <w:rFonts w:asciiTheme="minorHAnsi" w:eastAsiaTheme="minorEastAsia" w:hAnsiTheme="minorHAnsi" w:cstheme="minorBidi"/>
                <w:noProof/>
                <w:color w:val="auto"/>
                <w:szCs w:val="22"/>
                <w:lang w:eastAsia="en-GB"/>
              </w:rPr>
              <w:tab/>
            </w:r>
            <w:r>
              <w:rPr>
                <w:rStyle w:val="Hyperlink"/>
                <w:noProof/>
              </w:rPr>
              <w:t>Horizon 2020 (H2020)</w:t>
            </w:r>
            <w:r>
              <w:rPr>
                <w:noProof/>
                <w:webHidden/>
              </w:rPr>
              <w:tab/>
            </w:r>
            <w:r>
              <w:rPr>
                <w:noProof/>
                <w:webHidden/>
              </w:rPr>
              <w:fldChar w:fldCharType="begin"/>
            </w:r>
            <w:r>
              <w:rPr>
                <w:noProof/>
                <w:webHidden/>
              </w:rPr>
              <w:instrText xml:space="preserve"> PAGEREF _Toc516598371 \h </w:instrText>
            </w:r>
            <w:r>
              <w:rPr>
                <w:noProof/>
                <w:webHidden/>
              </w:rPr>
            </w:r>
            <w:r>
              <w:rPr>
                <w:noProof/>
                <w:webHidden/>
              </w:rPr>
              <w:fldChar w:fldCharType="separate"/>
            </w:r>
            <w:r>
              <w:rPr>
                <w:noProof/>
                <w:webHidden/>
              </w:rPr>
              <w:t>44</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72" w:history="1">
            <w:r>
              <w:rPr>
                <w:rStyle w:val="Hyperlink"/>
                <w:noProof/>
                <w:lang w:eastAsia="sv-SE"/>
              </w:rPr>
              <w:t>8.2.3</w:t>
            </w:r>
            <w:r>
              <w:rPr>
                <w:rFonts w:asciiTheme="minorHAnsi" w:eastAsiaTheme="minorEastAsia" w:hAnsiTheme="minorHAnsi" w:cstheme="minorBidi"/>
                <w:noProof/>
                <w:color w:val="auto"/>
                <w:szCs w:val="22"/>
                <w:lang w:eastAsia="en-GB"/>
              </w:rPr>
              <w:tab/>
            </w:r>
            <w:r>
              <w:rPr>
                <w:rStyle w:val="Hyperlink"/>
                <w:noProof/>
                <w:lang w:eastAsia="sv-SE"/>
              </w:rPr>
              <w:t>NER 300</w:t>
            </w:r>
            <w:r>
              <w:rPr>
                <w:noProof/>
                <w:webHidden/>
              </w:rPr>
              <w:tab/>
            </w:r>
            <w:r>
              <w:rPr>
                <w:noProof/>
                <w:webHidden/>
              </w:rPr>
              <w:fldChar w:fldCharType="begin"/>
            </w:r>
            <w:r>
              <w:rPr>
                <w:noProof/>
                <w:webHidden/>
              </w:rPr>
              <w:instrText xml:space="preserve"> PAGEREF _Toc516598372 \h </w:instrText>
            </w:r>
            <w:r>
              <w:rPr>
                <w:noProof/>
                <w:webHidden/>
              </w:rPr>
            </w:r>
            <w:r>
              <w:rPr>
                <w:noProof/>
                <w:webHidden/>
              </w:rPr>
              <w:fldChar w:fldCharType="separate"/>
            </w:r>
            <w:r>
              <w:rPr>
                <w:noProof/>
                <w:webHidden/>
              </w:rPr>
              <w:t>48</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73" w:history="1">
            <w:r>
              <w:rPr>
                <w:rStyle w:val="Hyperlink"/>
                <w:noProof/>
              </w:rPr>
              <w:t>8.2.4</w:t>
            </w:r>
            <w:r>
              <w:rPr>
                <w:rFonts w:asciiTheme="minorHAnsi" w:eastAsiaTheme="minorEastAsia" w:hAnsiTheme="minorHAnsi" w:cstheme="minorBidi"/>
                <w:noProof/>
                <w:color w:val="auto"/>
                <w:szCs w:val="22"/>
                <w:lang w:eastAsia="en-GB"/>
              </w:rPr>
              <w:tab/>
            </w:r>
            <w:r>
              <w:rPr>
                <w:rStyle w:val="Hyperlink"/>
                <w:noProof/>
              </w:rPr>
              <w:t xml:space="preserve">INNOFIN </w:t>
            </w:r>
            <w:r>
              <w:rPr>
                <w:rStyle w:val="Hyperlink"/>
                <w:noProof/>
              </w:rPr>
              <w:t>EU Finance for Innovators</w:t>
            </w:r>
            <w:r>
              <w:rPr>
                <w:noProof/>
                <w:webHidden/>
              </w:rPr>
              <w:tab/>
            </w:r>
            <w:r>
              <w:rPr>
                <w:noProof/>
                <w:webHidden/>
              </w:rPr>
              <w:fldChar w:fldCharType="begin"/>
            </w:r>
            <w:r>
              <w:rPr>
                <w:noProof/>
                <w:webHidden/>
              </w:rPr>
              <w:instrText xml:space="preserve"> PAGEREF _Toc516598373 \h </w:instrText>
            </w:r>
            <w:r>
              <w:rPr>
                <w:noProof/>
                <w:webHidden/>
              </w:rPr>
            </w:r>
            <w:r>
              <w:rPr>
                <w:noProof/>
                <w:webHidden/>
              </w:rPr>
              <w:fldChar w:fldCharType="separate"/>
            </w:r>
            <w:r>
              <w:rPr>
                <w:noProof/>
                <w:webHidden/>
              </w:rPr>
              <w:t>49</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74" w:history="1">
            <w:r>
              <w:rPr>
                <w:rStyle w:val="Hyperlink"/>
                <w:noProof/>
                <w14:scene3d>
                  <w14:camera w14:prst="orthographicFront"/>
                  <w14:lightRig w14:rig="threePt" w14:dir="t">
                    <w14:rot w14:lat="0" w14:lon="0" w14:rev="0"/>
                  </w14:lightRig>
                </w14:scene3d>
              </w:rPr>
              <w:t>8.3</w:t>
            </w:r>
            <w:r>
              <w:rPr>
                <w:rFonts w:asciiTheme="minorHAnsi" w:eastAsiaTheme="minorEastAsia" w:hAnsiTheme="minorHAnsi" w:cstheme="minorBidi"/>
                <w:noProof/>
                <w:color w:val="auto"/>
                <w:szCs w:val="22"/>
                <w:lang w:eastAsia="en-GB"/>
              </w:rPr>
              <w:tab/>
            </w:r>
            <w:r>
              <w:rPr>
                <w:rStyle w:val="Hyperlink"/>
                <w:noProof/>
              </w:rPr>
              <w:t>Financing mechanisms in India</w:t>
            </w:r>
            <w:r>
              <w:rPr>
                <w:noProof/>
                <w:webHidden/>
              </w:rPr>
              <w:tab/>
            </w:r>
            <w:r>
              <w:rPr>
                <w:noProof/>
                <w:webHidden/>
              </w:rPr>
              <w:fldChar w:fldCharType="begin"/>
            </w:r>
            <w:r>
              <w:rPr>
                <w:noProof/>
                <w:webHidden/>
              </w:rPr>
              <w:instrText xml:space="preserve"> PAGEREF _Toc516598374 \h </w:instrText>
            </w:r>
            <w:r>
              <w:rPr>
                <w:noProof/>
                <w:webHidden/>
              </w:rPr>
            </w:r>
            <w:r>
              <w:rPr>
                <w:noProof/>
                <w:webHidden/>
              </w:rPr>
              <w:fldChar w:fldCharType="separate"/>
            </w:r>
            <w:r>
              <w:rPr>
                <w:noProof/>
                <w:webHidden/>
              </w:rPr>
              <w:t>50</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75" w:history="1">
            <w:r>
              <w:rPr>
                <w:rStyle w:val="Hyperlink"/>
                <w:noProof/>
              </w:rPr>
              <w:t>9</w:t>
            </w:r>
            <w:r>
              <w:rPr>
                <w:rFonts w:asciiTheme="minorHAnsi" w:eastAsiaTheme="minorEastAsia" w:hAnsiTheme="minorHAnsi" w:cstheme="minorBidi"/>
                <w:b w:val="0"/>
                <w:caps w:val="0"/>
                <w:noProof/>
                <w:color w:val="auto"/>
                <w:szCs w:val="22"/>
                <w:lang w:eastAsia="en-GB"/>
              </w:rPr>
              <w:tab/>
            </w:r>
            <w:r>
              <w:rPr>
                <w:rStyle w:val="Hyperlink"/>
                <w:noProof/>
              </w:rPr>
              <w:t>Conclusions</w:t>
            </w:r>
            <w:r>
              <w:rPr>
                <w:noProof/>
                <w:webHidden/>
              </w:rPr>
              <w:tab/>
            </w:r>
            <w:r>
              <w:rPr>
                <w:noProof/>
                <w:webHidden/>
              </w:rPr>
              <w:fldChar w:fldCharType="begin"/>
            </w:r>
            <w:r>
              <w:rPr>
                <w:noProof/>
                <w:webHidden/>
              </w:rPr>
              <w:instrText xml:space="preserve"> PAGEREF _Toc516598375 \h </w:instrText>
            </w:r>
            <w:r>
              <w:rPr>
                <w:noProof/>
                <w:webHidden/>
              </w:rPr>
            </w:r>
            <w:r>
              <w:rPr>
                <w:noProof/>
                <w:webHidden/>
              </w:rPr>
              <w:fldChar w:fldCharType="separate"/>
            </w:r>
            <w:r>
              <w:rPr>
                <w:noProof/>
                <w:webHidden/>
              </w:rPr>
              <w:t>52</w:t>
            </w:r>
            <w:r>
              <w:rPr>
                <w:noProof/>
                <w:webHidden/>
              </w:rPr>
              <w:fldChar w:fldCharType="end"/>
            </w:r>
          </w:hyperlink>
        </w:p>
        <w:p w:rsidR="006E1BDE" w:rsidRDefault="00244DD3">
          <w:pPr>
            <w:pStyle w:val="TOC1"/>
            <w:rPr>
              <w:rFonts w:asciiTheme="minorHAnsi" w:eastAsiaTheme="minorEastAsia" w:hAnsiTheme="minorHAnsi" w:cstheme="minorBidi"/>
              <w:b w:val="0"/>
              <w:caps w:val="0"/>
              <w:noProof/>
              <w:color w:val="auto"/>
              <w:szCs w:val="22"/>
              <w:lang w:eastAsia="en-GB"/>
            </w:rPr>
          </w:pPr>
          <w:hyperlink w:anchor="_Toc516598376" w:history="1">
            <w:r>
              <w:rPr>
                <w:rStyle w:val="Hyperlink"/>
                <w:noProof/>
              </w:rPr>
              <w:t>Annex i: Technology status and development of advanced alternative and renewable fuels in India and the EU</w:t>
            </w:r>
            <w:r>
              <w:rPr>
                <w:noProof/>
                <w:webHidden/>
              </w:rPr>
              <w:tab/>
            </w:r>
            <w:r>
              <w:rPr>
                <w:noProof/>
                <w:webHidden/>
              </w:rPr>
              <w:fldChar w:fldCharType="begin"/>
            </w:r>
            <w:r>
              <w:rPr>
                <w:noProof/>
                <w:webHidden/>
              </w:rPr>
              <w:instrText xml:space="preserve"> PAGEREF _Toc516598376 \h </w:instrText>
            </w:r>
            <w:r>
              <w:rPr>
                <w:noProof/>
                <w:webHidden/>
              </w:rPr>
            </w:r>
            <w:r>
              <w:rPr>
                <w:noProof/>
                <w:webHidden/>
              </w:rPr>
              <w:fldChar w:fldCharType="separate"/>
            </w:r>
            <w:r>
              <w:rPr>
                <w:noProof/>
                <w:webHidden/>
              </w:rPr>
              <w:t>55</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77" w:history="1">
            <w:r>
              <w:rPr>
                <w:rStyle w:val="Hyperlink"/>
                <w:noProof/>
                <w14:scene3d>
                  <w14:camera w14:prst="orthographicFront"/>
                  <w14:lightRig w14:rig="threePt" w14:dir="t">
                    <w14:rot w14:lat="0" w14:lon="0" w14:rev="0"/>
                  </w14:lightRig>
                </w14:scene3d>
              </w:rPr>
              <w:t>1.1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_Toc516598377 \h </w:instrText>
            </w:r>
            <w:r>
              <w:rPr>
                <w:noProof/>
                <w:webHidden/>
              </w:rPr>
            </w:r>
            <w:r>
              <w:rPr>
                <w:noProof/>
                <w:webHidden/>
              </w:rPr>
              <w:fldChar w:fldCharType="separate"/>
            </w:r>
            <w:r>
              <w:rPr>
                <w:noProof/>
                <w:webHidden/>
              </w:rPr>
              <w:t>55</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78" w:history="1">
            <w:r>
              <w:rPr>
                <w:rStyle w:val="Hyperlink"/>
                <w:noProof/>
                <w14:scene3d>
                  <w14:camera w14:prst="orthographicFront"/>
                  <w14:lightRig w14:rig="threePt" w14:dir="t">
                    <w14:rot w14:lat="0" w14:lon="0" w14:rev="0"/>
                  </w14:lightRig>
                </w14:scene3d>
              </w:rPr>
              <w:t>1.2</w:t>
            </w:r>
            <w:r>
              <w:rPr>
                <w:rFonts w:asciiTheme="minorHAnsi" w:eastAsiaTheme="minorEastAsia" w:hAnsiTheme="minorHAnsi" w:cstheme="minorBidi"/>
                <w:noProof/>
                <w:color w:val="auto"/>
                <w:szCs w:val="22"/>
                <w:lang w:eastAsia="en-GB"/>
              </w:rPr>
              <w:tab/>
            </w:r>
            <w:r>
              <w:rPr>
                <w:rStyle w:val="Hyperlink"/>
                <w:noProof/>
              </w:rPr>
              <w:t xml:space="preserve">Different processes to </w:t>
            </w:r>
            <w:r>
              <w:rPr>
                <w:rStyle w:val="Hyperlink"/>
                <w:noProof/>
              </w:rPr>
              <w:t>convert biomass to energy</w:t>
            </w:r>
            <w:r>
              <w:rPr>
                <w:noProof/>
                <w:webHidden/>
              </w:rPr>
              <w:tab/>
            </w:r>
            <w:r>
              <w:rPr>
                <w:noProof/>
                <w:webHidden/>
              </w:rPr>
              <w:fldChar w:fldCharType="begin"/>
            </w:r>
            <w:r>
              <w:rPr>
                <w:noProof/>
                <w:webHidden/>
              </w:rPr>
              <w:instrText xml:space="preserve"> PAGEREF _Toc516598378 \h </w:instrText>
            </w:r>
            <w:r>
              <w:rPr>
                <w:noProof/>
                <w:webHidden/>
              </w:rPr>
            </w:r>
            <w:r>
              <w:rPr>
                <w:noProof/>
                <w:webHidden/>
              </w:rPr>
              <w:fldChar w:fldCharType="separate"/>
            </w:r>
            <w:r>
              <w:rPr>
                <w:noProof/>
                <w:webHidden/>
              </w:rPr>
              <w:t>57</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79" w:history="1">
            <w:r>
              <w:rPr>
                <w:rStyle w:val="Hyperlink"/>
                <w:noProof/>
                <w14:scene3d>
                  <w14:camera w14:prst="orthographicFront"/>
                  <w14:lightRig w14:rig="threePt" w14:dir="t">
                    <w14:rot w14:lat="0" w14:lon="0" w14:rev="0"/>
                  </w14:lightRig>
                </w14:scene3d>
              </w:rPr>
              <w:t>1.3</w:t>
            </w:r>
            <w:r>
              <w:rPr>
                <w:rFonts w:asciiTheme="minorHAnsi" w:eastAsiaTheme="minorEastAsia" w:hAnsiTheme="minorHAnsi" w:cstheme="minorBidi"/>
                <w:noProof/>
                <w:color w:val="auto"/>
                <w:szCs w:val="22"/>
                <w:lang w:eastAsia="en-GB"/>
              </w:rPr>
              <w:tab/>
            </w:r>
            <w:r>
              <w:rPr>
                <w:rStyle w:val="Hyperlink"/>
                <w:noProof/>
              </w:rPr>
              <w:t>Thermochemical Processing</w:t>
            </w:r>
            <w:r>
              <w:rPr>
                <w:noProof/>
                <w:webHidden/>
              </w:rPr>
              <w:tab/>
            </w:r>
            <w:r>
              <w:rPr>
                <w:noProof/>
                <w:webHidden/>
              </w:rPr>
              <w:fldChar w:fldCharType="begin"/>
            </w:r>
            <w:r>
              <w:rPr>
                <w:noProof/>
                <w:webHidden/>
              </w:rPr>
              <w:instrText xml:space="preserve"> PAGEREF _Toc516598379 \h </w:instrText>
            </w:r>
            <w:r>
              <w:rPr>
                <w:noProof/>
                <w:webHidden/>
              </w:rPr>
            </w:r>
            <w:r>
              <w:rPr>
                <w:noProof/>
                <w:webHidden/>
              </w:rPr>
              <w:fldChar w:fldCharType="separate"/>
            </w:r>
            <w:r>
              <w:rPr>
                <w:noProof/>
                <w:webHidden/>
              </w:rPr>
              <w:t>57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0" w:history="1">
            <w:r>
              <w:rPr>
                <w:rStyle w:val="Hyperlink"/>
                <w:noProof/>
              </w:rPr>
              <w:t>1.3.1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_Toc516598380 \h </w:instrText>
            </w:r>
            <w:r>
              <w:rPr>
                <w:noProof/>
                <w:webHidden/>
              </w:rPr>
            </w:r>
            <w:r>
              <w:rPr>
                <w:noProof/>
                <w:webHidden/>
              </w:rPr>
              <w:fldChar w:fldCharType="separate"/>
            </w:r>
            <w:r>
              <w:rPr>
                <w:noProof/>
                <w:webHidden/>
              </w:rPr>
              <w:t>57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1" w:history="1">
            <w:r>
              <w:rPr>
                <w:rStyle w:val="Hyperlink"/>
                <w:noProof/>
              </w:rPr>
              <w:t>1.3.2</w:t>
            </w:r>
            <w:r>
              <w:rPr>
                <w:rFonts w:asciiTheme="minorHAnsi" w:eastAsiaTheme="minorEastAsia" w:hAnsiTheme="minorHAnsi" w:cstheme="minorBidi"/>
                <w:noProof/>
                <w:color w:val="auto"/>
                <w:szCs w:val="22"/>
                <w:lang w:eastAsia="en-GB"/>
              </w:rPr>
              <w:tab/>
            </w:r>
            <w:r>
              <w:rPr>
                <w:rStyle w:val="Hyperlink"/>
                <w:noProof/>
              </w:rPr>
              <w:t>Gasification</w:t>
            </w:r>
            <w:r>
              <w:rPr>
                <w:noProof/>
                <w:webHidden/>
              </w:rPr>
              <w:tab/>
            </w:r>
            <w:r>
              <w:rPr>
                <w:noProof/>
                <w:webHidden/>
              </w:rPr>
              <w:fldChar w:fldCharType="begin"/>
            </w:r>
            <w:r>
              <w:rPr>
                <w:noProof/>
                <w:webHidden/>
              </w:rPr>
              <w:instrText xml:space="preserve"> PAGEREF _Toc516598381 \h </w:instrText>
            </w:r>
            <w:r>
              <w:rPr>
                <w:noProof/>
                <w:webHidden/>
              </w:rPr>
            </w:r>
            <w:r>
              <w:rPr>
                <w:noProof/>
                <w:webHidden/>
              </w:rPr>
              <w:fldChar w:fldCharType="separate"/>
            </w:r>
            <w:r>
              <w:rPr>
                <w:noProof/>
                <w:webHidden/>
              </w:rPr>
              <w:t>60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2" w:history="1">
            <w:r>
              <w:rPr>
                <w:rStyle w:val="Hyperlink"/>
                <w:noProof/>
              </w:rPr>
              <w:t>1.3.3</w:t>
            </w:r>
            <w:r>
              <w:rPr>
                <w:rFonts w:asciiTheme="minorHAnsi" w:eastAsiaTheme="minorEastAsia" w:hAnsiTheme="minorHAnsi" w:cstheme="minorBidi"/>
                <w:noProof/>
                <w:color w:val="auto"/>
                <w:szCs w:val="22"/>
                <w:lang w:eastAsia="en-GB"/>
              </w:rPr>
              <w:tab/>
            </w:r>
            <w:r>
              <w:rPr>
                <w:rStyle w:val="Hyperlink"/>
                <w:noProof/>
              </w:rPr>
              <w:t>Gasification in the EU</w:t>
            </w:r>
            <w:r>
              <w:rPr>
                <w:noProof/>
                <w:webHidden/>
              </w:rPr>
              <w:tab/>
            </w:r>
            <w:r>
              <w:rPr>
                <w:noProof/>
                <w:webHidden/>
              </w:rPr>
              <w:fldChar w:fldCharType="begin"/>
            </w:r>
            <w:r>
              <w:rPr>
                <w:noProof/>
                <w:webHidden/>
              </w:rPr>
              <w:instrText xml:space="preserve"> PAGEREF _Toc516598382 \h </w:instrText>
            </w:r>
            <w:r>
              <w:rPr>
                <w:noProof/>
                <w:webHidden/>
              </w:rPr>
            </w:r>
            <w:r>
              <w:rPr>
                <w:noProof/>
                <w:webHidden/>
              </w:rPr>
              <w:fldChar w:fldCharType="separate"/>
            </w:r>
            <w:r>
              <w:rPr>
                <w:noProof/>
                <w:webHidden/>
              </w:rPr>
              <w:t>62</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3" w:history="1">
            <w:r>
              <w:rPr>
                <w:rStyle w:val="Hyperlink"/>
                <w:noProof/>
              </w:rPr>
              <w:t>1.3.4</w:t>
            </w:r>
            <w:r>
              <w:rPr>
                <w:rFonts w:asciiTheme="minorHAnsi" w:eastAsiaTheme="minorEastAsia" w:hAnsiTheme="minorHAnsi" w:cstheme="minorBidi"/>
                <w:noProof/>
                <w:color w:val="auto"/>
                <w:szCs w:val="22"/>
                <w:lang w:eastAsia="en-GB"/>
              </w:rPr>
              <w:tab/>
            </w:r>
            <w:r>
              <w:rPr>
                <w:rStyle w:val="Hyperlink"/>
                <w:noProof/>
              </w:rPr>
              <w:t>Gasification in India</w:t>
            </w:r>
            <w:r>
              <w:rPr>
                <w:noProof/>
                <w:webHidden/>
              </w:rPr>
              <w:tab/>
            </w:r>
            <w:r>
              <w:rPr>
                <w:noProof/>
                <w:webHidden/>
              </w:rPr>
              <w:fldChar w:fldCharType="begin"/>
            </w:r>
            <w:r>
              <w:rPr>
                <w:noProof/>
                <w:webHidden/>
              </w:rPr>
              <w:instrText xml:space="preserve"> PAGEREF _Toc516598383 \h </w:instrText>
            </w:r>
            <w:r>
              <w:rPr>
                <w:noProof/>
                <w:webHidden/>
              </w:rPr>
            </w:r>
            <w:r>
              <w:rPr>
                <w:noProof/>
                <w:webHidden/>
              </w:rPr>
              <w:fldChar w:fldCharType="separate"/>
            </w:r>
            <w:r>
              <w:rPr>
                <w:noProof/>
                <w:webHidden/>
              </w:rPr>
              <w:t>67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4" w:history="1">
            <w:r>
              <w:rPr>
                <w:rStyle w:val="Hyperlink"/>
                <w:noProof/>
              </w:rPr>
              <w:t>1.3.5</w:t>
            </w:r>
            <w:r>
              <w:rPr>
                <w:rFonts w:asciiTheme="minorHAnsi" w:eastAsiaTheme="minorEastAsia" w:hAnsiTheme="minorHAnsi" w:cstheme="minorBidi"/>
                <w:noProof/>
                <w:color w:val="auto"/>
                <w:szCs w:val="22"/>
                <w:lang w:eastAsia="en-GB"/>
              </w:rPr>
              <w:tab/>
            </w:r>
            <w:r>
              <w:rPr>
                <w:rStyle w:val="Hyperlink"/>
                <w:noProof/>
              </w:rPr>
              <w:t>Fast pyrolysis</w:t>
            </w:r>
            <w:r>
              <w:rPr>
                <w:noProof/>
                <w:webHidden/>
              </w:rPr>
              <w:tab/>
            </w:r>
            <w:r>
              <w:rPr>
                <w:noProof/>
                <w:webHidden/>
              </w:rPr>
              <w:fldChar w:fldCharType="begin"/>
            </w:r>
            <w:r>
              <w:rPr>
                <w:noProof/>
                <w:webHidden/>
              </w:rPr>
              <w:instrText xml:space="preserve"> PAGEREF _Toc516598384 \h </w:instrText>
            </w:r>
            <w:r>
              <w:rPr>
                <w:noProof/>
                <w:webHidden/>
              </w:rPr>
            </w:r>
            <w:r>
              <w:rPr>
                <w:noProof/>
                <w:webHidden/>
              </w:rPr>
              <w:fldChar w:fldCharType="separate"/>
            </w:r>
            <w:r>
              <w:rPr>
                <w:noProof/>
                <w:webHidden/>
              </w:rPr>
              <w:t>67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5" w:history="1">
            <w:r>
              <w:rPr>
                <w:rStyle w:val="Hyperlink"/>
                <w:noProof/>
              </w:rPr>
              <w:t>1.3.6</w:t>
            </w:r>
            <w:r>
              <w:rPr>
                <w:rFonts w:asciiTheme="minorHAnsi" w:eastAsiaTheme="minorEastAsia" w:hAnsiTheme="minorHAnsi" w:cstheme="minorBidi"/>
                <w:noProof/>
                <w:color w:val="auto"/>
                <w:szCs w:val="22"/>
                <w:lang w:eastAsia="en-GB"/>
              </w:rPr>
              <w:tab/>
            </w:r>
            <w:r>
              <w:rPr>
                <w:rStyle w:val="Hyperlink"/>
                <w:noProof/>
              </w:rPr>
              <w:t>Fast Pyrolysis in the EU</w:t>
            </w:r>
            <w:r>
              <w:rPr>
                <w:noProof/>
                <w:webHidden/>
              </w:rPr>
              <w:tab/>
            </w:r>
            <w:r>
              <w:rPr>
                <w:noProof/>
                <w:webHidden/>
              </w:rPr>
              <w:fldChar w:fldCharType="begin"/>
            </w:r>
            <w:r>
              <w:rPr>
                <w:noProof/>
                <w:webHidden/>
              </w:rPr>
              <w:instrText xml:space="preserve"> PAGEREF _Toc516598385 \h </w:instrText>
            </w:r>
            <w:r>
              <w:rPr>
                <w:noProof/>
                <w:webHidden/>
              </w:rPr>
            </w:r>
            <w:r>
              <w:rPr>
                <w:noProof/>
                <w:webHidden/>
              </w:rPr>
              <w:fldChar w:fldCharType="separate"/>
            </w:r>
            <w:r>
              <w:rPr>
                <w:noProof/>
                <w:webHidden/>
              </w:rPr>
              <w:t>68</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6" w:history="1">
            <w:r>
              <w:rPr>
                <w:rStyle w:val="Hyperlink"/>
                <w:noProof/>
              </w:rPr>
              <w:t>1.3.7</w:t>
            </w:r>
            <w:r>
              <w:rPr>
                <w:rFonts w:asciiTheme="minorHAnsi" w:eastAsiaTheme="minorEastAsia" w:hAnsiTheme="minorHAnsi" w:cstheme="minorBidi"/>
                <w:noProof/>
                <w:color w:val="auto"/>
                <w:szCs w:val="22"/>
                <w:lang w:eastAsia="en-GB"/>
              </w:rPr>
              <w:tab/>
            </w:r>
            <w:r>
              <w:rPr>
                <w:rStyle w:val="Hyperlink"/>
                <w:noProof/>
              </w:rPr>
              <w:t>Fast pyrolysis in India</w:t>
            </w:r>
            <w:r>
              <w:rPr>
                <w:noProof/>
                <w:webHidden/>
              </w:rPr>
              <w:tab/>
            </w:r>
            <w:r>
              <w:rPr>
                <w:noProof/>
                <w:webHidden/>
              </w:rPr>
              <w:fldChar w:fldCharType="begin"/>
            </w:r>
            <w:r>
              <w:rPr>
                <w:noProof/>
                <w:webHidden/>
              </w:rPr>
              <w:instrText xml:space="preserve"> PAGEREF _Toc516598386 \h </w:instrText>
            </w:r>
            <w:r>
              <w:rPr>
                <w:noProof/>
                <w:webHidden/>
              </w:rPr>
            </w:r>
            <w:r>
              <w:rPr>
                <w:noProof/>
                <w:webHidden/>
              </w:rPr>
              <w:fldChar w:fldCharType="separate"/>
            </w:r>
            <w:r>
              <w:rPr>
                <w:noProof/>
                <w:webHidden/>
              </w:rPr>
              <w:t>70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7" w:history="1">
            <w:r>
              <w:rPr>
                <w:rStyle w:val="Hyperlink"/>
                <w:noProof/>
              </w:rPr>
              <w:t>1.3.8</w:t>
            </w:r>
            <w:r>
              <w:rPr>
                <w:rFonts w:asciiTheme="minorHAnsi" w:eastAsiaTheme="minorEastAsia" w:hAnsiTheme="minorHAnsi" w:cstheme="minorBidi"/>
                <w:noProof/>
                <w:color w:val="auto"/>
                <w:szCs w:val="22"/>
                <w:lang w:eastAsia="en-GB"/>
              </w:rPr>
              <w:tab/>
            </w:r>
            <w:r>
              <w:rPr>
                <w:rStyle w:val="Hyperlink"/>
                <w:noProof/>
              </w:rPr>
              <w:t>Hydrotreated Vegetable Oils (HVO)</w:t>
            </w:r>
            <w:r>
              <w:rPr>
                <w:noProof/>
                <w:webHidden/>
              </w:rPr>
              <w:tab/>
            </w:r>
            <w:r>
              <w:rPr>
                <w:noProof/>
                <w:webHidden/>
              </w:rPr>
              <w:fldChar w:fldCharType="begin"/>
            </w:r>
            <w:r>
              <w:rPr>
                <w:noProof/>
                <w:webHidden/>
              </w:rPr>
              <w:instrText xml:space="preserve"> PAGEREF _Toc516598387 \h </w:instrText>
            </w:r>
            <w:r>
              <w:rPr>
                <w:noProof/>
                <w:webHidden/>
              </w:rPr>
            </w:r>
            <w:r>
              <w:rPr>
                <w:noProof/>
                <w:webHidden/>
              </w:rPr>
              <w:fldChar w:fldCharType="separate"/>
            </w:r>
            <w:r>
              <w:rPr>
                <w:noProof/>
                <w:webHidden/>
              </w:rPr>
              <w:t>72</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8" w:history="1">
            <w:r>
              <w:rPr>
                <w:rStyle w:val="Hyperlink"/>
                <w:noProof/>
              </w:rPr>
              <w:t>1.3.9</w:t>
            </w:r>
            <w:r>
              <w:rPr>
                <w:rFonts w:asciiTheme="minorHAnsi" w:eastAsiaTheme="minorEastAsia" w:hAnsiTheme="minorHAnsi" w:cstheme="minorBidi"/>
                <w:noProof/>
                <w:color w:val="auto"/>
                <w:szCs w:val="22"/>
                <w:lang w:eastAsia="en-GB"/>
              </w:rPr>
              <w:tab/>
            </w:r>
            <w:r>
              <w:rPr>
                <w:rStyle w:val="Hyperlink"/>
                <w:noProof/>
              </w:rPr>
              <w:t>Hydrotreated Vegetable Oils (HVO) in the EU</w:t>
            </w:r>
            <w:r>
              <w:rPr>
                <w:noProof/>
                <w:webHidden/>
              </w:rPr>
              <w:tab/>
            </w:r>
            <w:r>
              <w:rPr>
                <w:noProof/>
                <w:webHidden/>
              </w:rPr>
              <w:fldChar w:fldCharType="begin"/>
            </w:r>
            <w:r>
              <w:rPr>
                <w:noProof/>
                <w:webHidden/>
              </w:rPr>
              <w:instrText xml:space="preserve"> PAGEREF _Toc516598388 \h </w:instrText>
            </w:r>
            <w:r>
              <w:rPr>
                <w:noProof/>
                <w:webHidden/>
              </w:rPr>
            </w:r>
            <w:r>
              <w:rPr>
                <w:noProof/>
                <w:webHidden/>
              </w:rPr>
              <w:fldChar w:fldCharType="separate"/>
            </w:r>
            <w:r>
              <w:rPr>
                <w:noProof/>
                <w:webHidden/>
              </w:rPr>
              <w:t>73</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89" w:history="1">
            <w:r>
              <w:rPr>
                <w:rStyle w:val="Hyperlink"/>
                <w:noProof/>
              </w:rPr>
              <w:t>1.3.10</w:t>
            </w:r>
            <w:r>
              <w:rPr>
                <w:rFonts w:asciiTheme="minorHAnsi" w:eastAsiaTheme="minorEastAsia" w:hAnsiTheme="minorHAnsi" w:cstheme="minorBidi"/>
                <w:noProof/>
                <w:color w:val="auto"/>
                <w:szCs w:val="22"/>
                <w:lang w:eastAsia="en-GB"/>
              </w:rPr>
              <w:tab/>
            </w:r>
            <w:r>
              <w:rPr>
                <w:rStyle w:val="Hyperlink"/>
                <w:noProof/>
              </w:rPr>
              <w:t>Hydrotreated Vegetable Oils (HVO) in India</w:t>
            </w:r>
            <w:r>
              <w:rPr>
                <w:noProof/>
                <w:webHidden/>
              </w:rPr>
              <w:tab/>
            </w:r>
            <w:r>
              <w:rPr>
                <w:noProof/>
                <w:webHidden/>
              </w:rPr>
              <w:fldChar w:fldCharType="begin"/>
            </w:r>
            <w:r>
              <w:rPr>
                <w:noProof/>
                <w:webHidden/>
              </w:rPr>
              <w:instrText xml:space="preserve"> PAGEREF _Toc516598389 \h </w:instrText>
            </w:r>
            <w:r>
              <w:rPr>
                <w:noProof/>
                <w:webHidden/>
              </w:rPr>
            </w:r>
            <w:r>
              <w:rPr>
                <w:noProof/>
                <w:webHidden/>
              </w:rPr>
              <w:fldChar w:fldCharType="separate"/>
            </w:r>
            <w:r>
              <w:rPr>
                <w:noProof/>
                <w:webHidden/>
              </w:rPr>
              <w:t>76</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90" w:history="1">
            <w:r>
              <w:rPr>
                <w:rStyle w:val="Hyperlink"/>
                <w:noProof/>
                <w14:scene3d>
                  <w14:camera w14:prst="orthographicFront"/>
                  <w14:lightRig w14:rig="threePt" w14:dir="t">
                    <w14:rot w14:lat="0" w14:lon="0" w14:rev="0"/>
                  </w14:lightRig>
                </w14:scene3d>
              </w:rPr>
              <w:t>1.4</w:t>
            </w:r>
            <w:r>
              <w:rPr>
                <w:rFonts w:asciiTheme="minorHAnsi" w:eastAsiaTheme="minorEastAsia" w:hAnsiTheme="minorHAnsi" w:cstheme="minorBidi"/>
                <w:noProof/>
                <w:color w:val="auto"/>
                <w:szCs w:val="22"/>
                <w:lang w:eastAsia="en-GB"/>
              </w:rPr>
              <w:tab/>
            </w:r>
            <w:r>
              <w:rPr>
                <w:rStyle w:val="Hyperlink"/>
                <w:noProof/>
              </w:rPr>
              <w:t>Biological conversion</w:t>
            </w:r>
            <w:r>
              <w:rPr>
                <w:noProof/>
                <w:webHidden/>
              </w:rPr>
              <w:tab/>
            </w:r>
            <w:r>
              <w:rPr>
                <w:noProof/>
                <w:webHidden/>
              </w:rPr>
              <w:fldChar w:fldCharType="begin"/>
            </w:r>
            <w:r>
              <w:rPr>
                <w:noProof/>
                <w:webHidden/>
              </w:rPr>
              <w:instrText xml:space="preserve"> PAGEREF _Toc516598390 \h </w:instrText>
            </w:r>
            <w:r>
              <w:rPr>
                <w:noProof/>
                <w:webHidden/>
              </w:rPr>
            </w:r>
            <w:r>
              <w:rPr>
                <w:noProof/>
                <w:webHidden/>
              </w:rPr>
              <w:fldChar w:fldCharType="separate"/>
            </w:r>
            <w:r>
              <w:rPr>
                <w:noProof/>
                <w:webHidden/>
              </w:rPr>
              <w:t>77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1" w:history="1">
            <w:r>
              <w:rPr>
                <w:rStyle w:val="Hyperlink"/>
                <w:noProof/>
              </w:rPr>
              <w:t>1.4.1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_Toc516598391 \h </w:instrText>
            </w:r>
            <w:r>
              <w:rPr>
                <w:noProof/>
                <w:webHidden/>
              </w:rPr>
            </w:r>
            <w:r>
              <w:rPr>
                <w:noProof/>
                <w:webHidden/>
              </w:rPr>
              <w:fldChar w:fldCharType="separate"/>
            </w:r>
            <w:r>
              <w:rPr>
                <w:noProof/>
                <w:webHidden/>
              </w:rPr>
              <w:t>77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2" w:history="1">
            <w:r>
              <w:rPr>
                <w:rStyle w:val="Hyperlink"/>
                <w:noProof/>
              </w:rPr>
              <w:t>1.4.2</w:t>
            </w:r>
            <w:r>
              <w:rPr>
                <w:rFonts w:asciiTheme="minorHAnsi" w:eastAsiaTheme="minorEastAsia" w:hAnsiTheme="minorHAnsi" w:cstheme="minorBidi"/>
                <w:noProof/>
                <w:color w:val="auto"/>
                <w:szCs w:val="22"/>
                <w:lang w:eastAsia="en-GB"/>
              </w:rPr>
              <w:tab/>
            </w:r>
            <w:r>
              <w:rPr>
                <w:rStyle w:val="Hyperlink"/>
                <w:noProof/>
              </w:rPr>
              <w:t>Cellulosic alcohols in the EU</w:t>
            </w:r>
            <w:r>
              <w:rPr>
                <w:noProof/>
                <w:webHidden/>
              </w:rPr>
              <w:tab/>
            </w:r>
            <w:r>
              <w:rPr>
                <w:noProof/>
                <w:webHidden/>
              </w:rPr>
              <w:fldChar w:fldCharType="begin"/>
            </w:r>
            <w:r>
              <w:rPr>
                <w:noProof/>
                <w:webHidden/>
              </w:rPr>
              <w:instrText xml:space="preserve"> PAGEREF _Toc516598392 \h </w:instrText>
            </w:r>
            <w:r>
              <w:rPr>
                <w:noProof/>
                <w:webHidden/>
              </w:rPr>
            </w:r>
            <w:r>
              <w:rPr>
                <w:noProof/>
                <w:webHidden/>
              </w:rPr>
              <w:fldChar w:fldCharType="separate"/>
            </w:r>
            <w:r>
              <w:rPr>
                <w:noProof/>
                <w:webHidden/>
              </w:rPr>
              <w:t>79</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3" w:history="1">
            <w:r>
              <w:rPr>
                <w:rStyle w:val="Hyperlink"/>
                <w:noProof/>
              </w:rPr>
              <w:t>1.4.3</w:t>
            </w:r>
            <w:r>
              <w:rPr>
                <w:rFonts w:asciiTheme="minorHAnsi" w:eastAsiaTheme="minorEastAsia" w:hAnsiTheme="minorHAnsi" w:cstheme="minorBidi"/>
                <w:noProof/>
                <w:color w:val="auto"/>
                <w:szCs w:val="22"/>
                <w:lang w:eastAsia="en-GB"/>
              </w:rPr>
              <w:tab/>
            </w:r>
            <w:r>
              <w:rPr>
                <w:rStyle w:val="Hyperlink"/>
                <w:noProof/>
              </w:rPr>
              <w:t>Cellulosic alcohols in India</w:t>
            </w:r>
            <w:r>
              <w:rPr>
                <w:noProof/>
                <w:webHidden/>
              </w:rPr>
              <w:tab/>
            </w:r>
            <w:r>
              <w:rPr>
                <w:noProof/>
                <w:webHidden/>
              </w:rPr>
              <w:fldChar w:fldCharType="begin"/>
            </w:r>
            <w:r>
              <w:rPr>
                <w:noProof/>
                <w:webHidden/>
              </w:rPr>
              <w:instrText xml:space="preserve"> PAGEREF _Toc516598393 \h </w:instrText>
            </w:r>
            <w:r>
              <w:rPr>
                <w:noProof/>
                <w:webHidden/>
              </w:rPr>
            </w:r>
            <w:r>
              <w:rPr>
                <w:noProof/>
                <w:webHidden/>
              </w:rPr>
              <w:fldChar w:fldCharType="separate"/>
            </w:r>
            <w:r>
              <w:rPr>
                <w:noProof/>
                <w:webHidden/>
              </w:rPr>
              <w:t>87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4" w:history="1">
            <w:r>
              <w:rPr>
                <w:rStyle w:val="Hyperlink"/>
                <w:noProof/>
              </w:rPr>
              <w:t>1.4.4</w:t>
            </w:r>
            <w:r>
              <w:rPr>
                <w:rFonts w:asciiTheme="minorHAnsi" w:eastAsiaTheme="minorEastAsia" w:hAnsiTheme="minorHAnsi" w:cstheme="minorBidi"/>
                <w:noProof/>
                <w:color w:val="auto"/>
                <w:szCs w:val="22"/>
                <w:lang w:eastAsia="en-GB"/>
              </w:rPr>
              <w:tab/>
            </w:r>
            <w:r>
              <w:rPr>
                <w:rStyle w:val="Hyperlink"/>
                <w:noProof/>
              </w:rPr>
              <w:t>Biomethane</w:t>
            </w:r>
            <w:r>
              <w:rPr>
                <w:noProof/>
                <w:webHidden/>
              </w:rPr>
              <w:tab/>
            </w:r>
            <w:r>
              <w:rPr>
                <w:noProof/>
                <w:webHidden/>
              </w:rPr>
              <w:fldChar w:fldCharType="begin"/>
            </w:r>
            <w:r>
              <w:rPr>
                <w:noProof/>
                <w:webHidden/>
              </w:rPr>
              <w:instrText xml:space="preserve"> PAGEREF _Toc516598394 \h </w:instrText>
            </w:r>
            <w:r>
              <w:rPr>
                <w:noProof/>
                <w:webHidden/>
              </w:rPr>
            </w:r>
            <w:r>
              <w:rPr>
                <w:noProof/>
                <w:webHidden/>
              </w:rPr>
              <w:fldChar w:fldCharType="separate"/>
            </w:r>
            <w:r>
              <w:rPr>
                <w:noProof/>
                <w:webHidden/>
              </w:rPr>
              <w:t>90</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5" w:history="1">
            <w:r>
              <w:rPr>
                <w:rStyle w:val="Hyperlink"/>
                <w:noProof/>
              </w:rPr>
              <w:t>1.4.5</w:t>
            </w:r>
            <w:r>
              <w:rPr>
                <w:rFonts w:asciiTheme="minorHAnsi" w:eastAsiaTheme="minorEastAsia" w:hAnsiTheme="minorHAnsi" w:cstheme="minorBidi"/>
                <w:noProof/>
                <w:color w:val="auto"/>
                <w:szCs w:val="22"/>
                <w:lang w:eastAsia="en-GB"/>
              </w:rPr>
              <w:tab/>
            </w:r>
            <w:r>
              <w:rPr>
                <w:rStyle w:val="Hyperlink"/>
                <w:noProof/>
              </w:rPr>
              <w:t>Biomethane in the EU</w:t>
            </w:r>
            <w:r>
              <w:rPr>
                <w:noProof/>
                <w:webHidden/>
              </w:rPr>
              <w:tab/>
            </w:r>
            <w:r>
              <w:rPr>
                <w:noProof/>
                <w:webHidden/>
              </w:rPr>
              <w:fldChar w:fldCharType="begin"/>
            </w:r>
            <w:r>
              <w:rPr>
                <w:noProof/>
                <w:webHidden/>
              </w:rPr>
              <w:instrText xml:space="preserve"> PAGEREF _Toc516598395 \h </w:instrText>
            </w:r>
            <w:r>
              <w:rPr>
                <w:noProof/>
                <w:webHidden/>
              </w:rPr>
            </w:r>
            <w:r>
              <w:rPr>
                <w:noProof/>
                <w:webHidden/>
              </w:rPr>
              <w:fldChar w:fldCharType="separate"/>
            </w:r>
            <w:r>
              <w:rPr>
                <w:noProof/>
                <w:webHidden/>
              </w:rPr>
              <w:t>91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6" w:history="1">
            <w:r>
              <w:rPr>
                <w:rStyle w:val="Hyperlink"/>
                <w:noProof/>
              </w:rPr>
              <w:t>1.</w:t>
            </w:r>
            <w:r>
              <w:rPr>
                <w:rStyle w:val="Hyperlink"/>
                <w:noProof/>
              </w:rPr>
              <w:t>4.6</w:t>
            </w:r>
            <w:r>
              <w:rPr>
                <w:rFonts w:asciiTheme="minorHAnsi" w:eastAsiaTheme="minorEastAsia" w:hAnsiTheme="minorHAnsi" w:cstheme="minorBidi"/>
                <w:noProof/>
                <w:color w:val="auto"/>
                <w:szCs w:val="22"/>
                <w:lang w:eastAsia="en-GB"/>
              </w:rPr>
              <w:tab/>
            </w:r>
            <w:r>
              <w:rPr>
                <w:rStyle w:val="Hyperlink"/>
                <w:noProof/>
              </w:rPr>
              <w:t>Biomethane in India</w:t>
            </w:r>
            <w:r>
              <w:rPr>
                <w:noProof/>
                <w:webHidden/>
              </w:rPr>
              <w:tab/>
            </w:r>
            <w:r>
              <w:rPr>
                <w:noProof/>
                <w:webHidden/>
              </w:rPr>
              <w:fldChar w:fldCharType="begin"/>
            </w:r>
            <w:r>
              <w:rPr>
                <w:noProof/>
                <w:webHidden/>
              </w:rPr>
              <w:instrText xml:space="preserve"> PAGEREF _Toc516598396 \h </w:instrText>
            </w:r>
            <w:r>
              <w:rPr>
                <w:noProof/>
                <w:webHidden/>
              </w:rPr>
            </w:r>
            <w:r>
              <w:rPr>
                <w:noProof/>
                <w:webHidden/>
              </w:rPr>
              <w:fldChar w:fldCharType="separate"/>
            </w:r>
            <w:r>
              <w:rPr>
                <w:noProof/>
                <w:webHidden/>
              </w:rPr>
              <w:t>94</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397" w:history="1">
            <w:r>
              <w:rPr>
                <w:rStyle w:val="Hyperlink"/>
                <w:noProof/>
                <w14:scene3d>
                  <w14:camera w14:prst="orthographicFront"/>
                  <w14:lightRig w14:rig="threePt" w14:dir="t">
                    <w14:rot w14:lat="0" w14:lon="0" w14:rev="0"/>
                  </w14:lightRig>
                </w14:scene3d>
              </w:rPr>
              <w:t>1.5</w:t>
            </w:r>
            <w:r>
              <w:rPr>
                <w:rFonts w:asciiTheme="minorHAnsi" w:eastAsiaTheme="minorEastAsia" w:hAnsiTheme="minorHAnsi" w:cstheme="minorBidi"/>
                <w:noProof/>
                <w:color w:val="auto"/>
                <w:szCs w:val="22"/>
                <w:lang w:eastAsia="en-GB"/>
              </w:rPr>
              <w:tab/>
            </w:r>
            <w:r>
              <w:rPr>
                <w:rStyle w:val="Hyperlink"/>
                <w:noProof/>
              </w:rPr>
              <w:t>Algae</w:t>
            </w:r>
            <w:r>
              <w:rPr>
                <w:noProof/>
                <w:webHidden/>
              </w:rPr>
              <w:tab/>
            </w:r>
            <w:r>
              <w:rPr>
                <w:noProof/>
                <w:webHidden/>
              </w:rPr>
              <w:fldChar w:fldCharType="begin"/>
            </w:r>
            <w:r>
              <w:rPr>
                <w:noProof/>
                <w:webHidden/>
              </w:rPr>
              <w:instrText xml:space="preserve"> PAGEREF _Toc516598397 \h </w:instrText>
            </w:r>
            <w:r>
              <w:rPr>
                <w:noProof/>
                <w:webHidden/>
              </w:rPr>
            </w:r>
            <w:r>
              <w:rPr>
                <w:noProof/>
                <w:webHidden/>
              </w:rPr>
              <w:fldChar w:fldCharType="separate"/>
            </w:r>
            <w:r>
              <w:rPr>
                <w:noProof/>
                <w:webHidden/>
              </w:rPr>
              <w:t>97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8" w:history="1">
            <w:r>
              <w:rPr>
                <w:rStyle w:val="Hyperlink"/>
                <w:noProof/>
              </w:rPr>
              <w:t>1.5.1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_Toc516598398 \h </w:instrText>
            </w:r>
            <w:r>
              <w:rPr>
                <w:noProof/>
                <w:webHidden/>
              </w:rPr>
            </w:r>
            <w:r>
              <w:rPr>
                <w:noProof/>
                <w:webHidden/>
              </w:rPr>
              <w:fldChar w:fldCharType="separate"/>
            </w:r>
            <w:r>
              <w:rPr>
                <w:noProof/>
                <w:webHidden/>
              </w:rPr>
              <w:t>97</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399" w:history="1">
            <w:r>
              <w:rPr>
                <w:rStyle w:val="Hyperlink"/>
                <w:noProof/>
              </w:rPr>
              <w:t>1.5.2</w:t>
            </w:r>
            <w:r>
              <w:rPr>
                <w:rFonts w:asciiTheme="minorHAnsi" w:eastAsiaTheme="minorEastAsia" w:hAnsiTheme="minorHAnsi" w:cstheme="minorBidi"/>
                <w:noProof/>
                <w:color w:val="auto"/>
                <w:szCs w:val="22"/>
                <w:lang w:eastAsia="en-GB"/>
              </w:rPr>
              <w:tab/>
            </w:r>
            <w:r>
              <w:rPr>
                <w:rStyle w:val="Hyperlink"/>
                <w:noProof/>
              </w:rPr>
              <w:t>Waste water treatment plants in the EU using algae</w:t>
            </w:r>
            <w:r>
              <w:rPr>
                <w:noProof/>
                <w:webHidden/>
              </w:rPr>
              <w:tab/>
            </w:r>
            <w:r>
              <w:rPr>
                <w:noProof/>
                <w:webHidden/>
              </w:rPr>
              <w:fldChar w:fldCharType="begin"/>
            </w:r>
            <w:r>
              <w:rPr>
                <w:noProof/>
                <w:webHidden/>
              </w:rPr>
              <w:instrText xml:space="preserve"> PAGEREF _Toc516598399 \h </w:instrText>
            </w:r>
            <w:r>
              <w:rPr>
                <w:noProof/>
                <w:webHidden/>
              </w:rPr>
            </w:r>
            <w:r>
              <w:rPr>
                <w:noProof/>
                <w:webHidden/>
              </w:rPr>
              <w:fldChar w:fldCharType="separate"/>
            </w:r>
            <w:r>
              <w:rPr>
                <w:noProof/>
                <w:webHidden/>
              </w:rPr>
              <w:t>98</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0" w:history="1">
            <w:r>
              <w:rPr>
                <w:rStyle w:val="Hyperlink"/>
                <w:noProof/>
              </w:rPr>
              <w:t>1.5.3</w:t>
            </w:r>
            <w:r>
              <w:rPr>
                <w:rFonts w:asciiTheme="minorHAnsi" w:eastAsiaTheme="minorEastAsia" w:hAnsiTheme="minorHAnsi" w:cstheme="minorBidi"/>
                <w:noProof/>
                <w:color w:val="auto"/>
                <w:szCs w:val="22"/>
                <w:lang w:eastAsia="en-GB"/>
              </w:rPr>
              <w:tab/>
            </w:r>
            <w:r>
              <w:rPr>
                <w:rStyle w:val="Hyperlink"/>
                <w:noProof/>
              </w:rPr>
              <w:t>Waste water treatment plants in India using algae</w:t>
            </w:r>
            <w:r>
              <w:rPr>
                <w:noProof/>
                <w:webHidden/>
              </w:rPr>
              <w:tab/>
            </w:r>
            <w:r>
              <w:rPr>
                <w:noProof/>
                <w:webHidden/>
              </w:rPr>
              <w:fldChar w:fldCharType="begin"/>
            </w:r>
            <w:r>
              <w:rPr>
                <w:noProof/>
                <w:webHidden/>
              </w:rPr>
              <w:instrText xml:space="preserve"> PAGEREF _Toc516598400 \h </w:instrText>
            </w:r>
            <w:r>
              <w:rPr>
                <w:noProof/>
                <w:webHidden/>
              </w:rPr>
            </w:r>
            <w:r>
              <w:rPr>
                <w:noProof/>
                <w:webHidden/>
              </w:rPr>
              <w:fldChar w:fldCharType="separate"/>
            </w:r>
            <w:r>
              <w:rPr>
                <w:noProof/>
                <w:webHidden/>
              </w:rPr>
              <w:t>100</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401" w:history="1">
            <w:r>
              <w:rPr>
                <w:rStyle w:val="Hyperlink"/>
                <w:noProof/>
                <w14:scene3d>
                  <w14:camera w14:prst="orthographicFront"/>
                  <w14:lightRig w14:rig="threePt" w14:dir="t">
                    <w14:rot w14:lat="0" w14:lon="0" w14:rev="0"/>
                  </w14:lightRig>
                </w14:scene3d>
              </w:rPr>
              <w:t>1.6</w:t>
            </w:r>
            <w:r>
              <w:rPr>
                <w:rFonts w:asciiTheme="minorHAnsi" w:eastAsiaTheme="minorEastAsia" w:hAnsiTheme="minorHAnsi" w:cstheme="minorBidi"/>
                <w:noProof/>
                <w:color w:val="auto"/>
                <w:szCs w:val="22"/>
                <w:lang w:eastAsia="en-GB"/>
              </w:rPr>
              <w:tab/>
            </w:r>
            <w:r>
              <w:rPr>
                <w:rStyle w:val="Hyperlink"/>
                <w:noProof/>
              </w:rPr>
              <w:t>Power to X</w:t>
            </w:r>
            <w:r>
              <w:rPr>
                <w:noProof/>
                <w:webHidden/>
              </w:rPr>
              <w:tab/>
            </w:r>
            <w:r>
              <w:rPr>
                <w:noProof/>
                <w:webHidden/>
              </w:rPr>
              <w:fldChar w:fldCharType="begin"/>
            </w:r>
            <w:r>
              <w:rPr>
                <w:noProof/>
                <w:webHidden/>
              </w:rPr>
              <w:instrText xml:space="preserve"> PAGEREF _Toc516598401 \h </w:instrText>
            </w:r>
            <w:r>
              <w:rPr>
                <w:noProof/>
                <w:webHidden/>
              </w:rPr>
            </w:r>
            <w:r>
              <w:rPr>
                <w:noProof/>
                <w:webHidden/>
              </w:rPr>
              <w:fldChar w:fldCharType="separate"/>
            </w:r>
            <w:r>
              <w:rPr>
                <w:noProof/>
                <w:webHidden/>
              </w:rPr>
              <w:t>101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2" w:history="1">
            <w:r>
              <w:rPr>
                <w:rStyle w:val="Hyperlink"/>
                <w:noProof/>
              </w:rPr>
              <w:t>1.6.1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_Toc516598402 \h </w:instrText>
            </w:r>
            <w:r>
              <w:rPr>
                <w:noProof/>
                <w:webHidden/>
              </w:rPr>
            </w:r>
            <w:r>
              <w:rPr>
                <w:noProof/>
                <w:webHidden/>
              </w:rPr>
              <w:fldChar w:fldCharType="separate"/>
            </w:r>
            <w:r>
              <w:rPr>
                <w:noProof/>
                <w:webHidden/>
              </w:rPr>
              <w:t>101</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3" w:history="1">
            <w:r>
              <w:rPr>
                <w:rStyle w:val="Hyperlink"/>
                <w:noProof/>
                <w:lang w:eastAsia="sv-SE"/>
              </w:rPr>
              <w:t>1.6.2</w:t>
            </w:r>
            <w:r>
              <w:rPr>
                <w:rFonts w:asciiTheme="minorHAnsi" w:eastAsiaTheme="minorEastAsia" w:hAnsiTheme="minorHAnsi" w:cstheme="minorBidi"/>
                <w:noProof/>
                <w:color w:val="auto"/>
                <w:szCs w:val="22"/>
                <w:lang w:eastAsia="en-GB"/>
              </w:rPr>
              <w:tab/>
            </w:r>
            <w:r>
              <w:rPr>
                <w:rStyle w:val="Hyperlink"/>
                <w:noProof/>
                <w:lang w:eastAsia="sv-SE"/>
              </w:rPr>
              <w:t>Power to X in the EU</w:t>
            </w:r>
            <w:r>
              <w:rPr>
                <w:noProof/>
                <w:webHidden/>
              </w:rPr>
              <w:tab/>
            </w:r>
            <w:r>
              <w:rPr>
                <w:noProof/>
                <w:webHidden/>
              </w:rPr>
              <w:fldChar w:fldCharType="begin"/>
            </w:r>
            <w:r>
              <w:rPr>
                <w:noProof/>
                <w:webHidden/>
              </w:rPr>
              <w:instrText xml:space="preserve"> PAGEREF _Toc516598403 \h </w:instrText>
            </w:r>
            <w:r>
              <w:rPr>
                <w:noProof/>
                <w:webHidden/>
              </w:rPr>
            </w:r>
            <w:r>
              <w:rPr>
                <w:noProof/>
                <w:webHidden/>
              </w:rPr>
              <w:fldChar w:fldCharType="separate"/>
            </w:r>
            <w:r>
              <w:rPr>
                <w:noProof/>
                <w:webHidden/>
              </w:rPr>
              <w:t>102</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4" w:history="1">
            <w:r>
              <w:rPr>
                <w:rStyle w:val="Hyperlink"/>
                <w:noProof/>
                <w:lang w:eastAsia="sv-SE"/>
              </w:rPr>
              <w:t>1.6.3</w:t>
            </w:r>
            <w:r>
              <w:rPr>
                <w:rFonts w:asciiTheme="minorHAnsi" w:eastAsiaTheme="minorEastAsia" w:hAnsiTheme="minorHAnsi" w:cstheme="minorBidi"/>
                <w:noProof/>
                <w:color w:val="auto"/>
                <w:szCs w:val="22"/>
                <w:lang w:eastAsia="en-GB"/>
              </w:rPr>
              <w:tab/>
            </w:r>
            <w:r>
              <w:rPr>
                <w:rStyle w:val="Hyperlink"/>
                <w:noProof/>
                <w:lang w:eastAsia="sv-SE"/>
              </w:rPr>
              <w:t>Power to X in India</w:t>
            </w:r>
            <w:r>
              <w:rPr>
                <w:noProof/>
                <w:webHidden/>
              </w:rPr>
              <w:tab/>
            </w:r>
            <w:r>
              <w:rPr>
                <w:noProof/>
                <w:webHidden/>
              </w:rPr>
              <w:fldChar w:fldCharType="begin"/>
            </w:r>
            <w:r>
              <w:rPr>
                <w:noProof/>
                <w:webHidden/>
              </w:rPr>
              <w:instrText xml:space="preserve"> PAGEREF _Toc516598404 \h </w:instrText>
            </w:r>
            <w:r>
              <w:rPr>
                <w:noProof/>
                <w:webHidden/>
              </w:rPr>
            </w:r>
            <w:r>
              <w:rPr>
                <w:noProof/>
                <w:webHidden/>
              </w:rPr>
              <w:fldChar w:fldCharType="separate"/>
            </w:r>
            <w:r>
              <w:rPr>
                <w:noProof/>
                <w:webHidden/>
              </w:rPr>
              <w:t>102</w:t>
            </w:r>
            <w:r>
              <w:rPr>
                <w:noProof/>
                <w:webHidden/>
              </w:rPr>
              <w:fldChar w:fldCharType="end"/>
            </w:r>
          </w:hyperlink>
        </w:p>
        <w:p w:rsidR="006E1BDE" w:rsidRDefault="00244DD3">
          <w:pPr>
            <w:pStyle w:val="TOC2"/>
            <w:rPr>
              <w:rFonts w:asciiTheme="minorHAnsi" w:eastAsiaTheme="minorEastAsia" w:hAnsiTheme="minorHAnsi" w:cstheme="minorBidi"/>
              <w:noProof/>
              <w:color w:val="auto"/>
              <w:szCs w:val="22"/>
              <w:lang w:eastAsia="en-GB"/>
            </w:rPr>
          </w:pPr>
          <w:hyperlink w:anchor="_Toc516598405" w:history="1">
            <w:r>
              <w:rPr>
                <w:rStyle w:val="Hyperlink"/>
                <w:noProof/>
                <w:lang w:val="fr-BE"/>
                <w14:scene3d>
                  <w14:camera w14:prst="orthographicFront"/>
                  <w14:lightRig w14:rig="threePt" w14:dir="t">
                    <w14:rot w14:lat="0" w14:lon="0" w14:rev="0"/>
                  </w14:lightRig>
                </w14:scene3d>
              </w:rPr>
              <w:t>1.</w:t>
            </w:r>
            <w:r>
              <w:rPr>
                <w:rStyle w:val="Hyperlink"/>
                <w:noProof/>
                <w:lang w:val="fr-BE"/>
                <w14:scene3d>
                  <w14:camera w14:prst="orthographicFront"/>
                  <w14:lightRig w14:rig="threePt" w14:dir="t">
                    <w14:rot w14:lat="0" w14:lon="0" w14:rev="0"/>
                  </w14:lightRig>
                </w14:scene3d>
              </w:rPr>
              <w:t>7</w:t>
            </w:r>
            <w:r>
              <w:rPr>
                <w:rFonts w:asciiTheme="minorHAnsi" w:eastAsiaTheme="minorEastAsia" w:hAnsiTheme="minorHAnsi" w:cstheme="minorBidi"/>
                <w:noProof/>
                <w:color w:val="auto"/>
                <w:szCs w:val="22"/>
                <w:lang w:eastAsia="en-GB"/>
              </w:rPr>
              <w:tab/>
            </w:r>
            <w:r>
              <w:rPr>
                <w:rStyle w:val="Hyperlink"/>
                <w:noProof/>
                <w:lang w:val="fr-BE"/>
              </w:rPr>
              <w:t>Carbon Capture and Utilisation (CCU)</w:t>
            </w:r>
            <w:r>
              <w:rPr>
                <w:noProof/>
                <w:webHidden/>
              </w:rPr>
              <w:tab/>
            </w:r>
            <w:r>
              <w:rPr>
                <w:noProof/>
                <w:webHidden/>
              </w:rPr>
              <w:fldChar w:fldCharType="begin"/>
            </w:r>
            <w:r>
              <w:rPr>
                <w:noProof/>
                <w:webHidden/>
              </w:rPr>
              <w:instrText xml:space="preserve"> PAGEREF _Toc516598405 \h </w:instrText>
            </w:r>
            <w:r>
              <w:rPr>
                <w:noProof/>
                <w:webHidden/>
              </w:rPr>
            </w:r>
            <w:r>
              <w:rPr>
                <w:noProof/>
                <w:webHidden/>
              </w:rPr>
              <w:fldChar w:fldCharType="separate"/>
            </w:r>
            <w:r>
              <w:rPr>
                <w:noProof/>
                <w:webHidden/>
              </w:rPr>
              <w:t>103</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6" w:history="1">
            <w:r>
              <w:rPr>
                <w:rStyle w:val="Hyperlink"/>
                <w:noProof/>
              </w:rPr>
              <w:t>1.7.1</w:t>
            </w:r>
            <w:r>
              <w:rPr>
                <w:rFonts w:asciiTheme="minorHAnsi" w:eastAsiaTheme="minorEastAsia" w:hAnsiTheme="minorHAnsi" w:cstheme="minorBidi"/>
                <w:noProof/>
                <w:color w:val="auto"/>
                <w:szCs w:val="22"/>
                <w:lang w:eastAsia="en-GB"/>
              </w:rPr>
              <w:tab/>
            </w:r>
            <w:r>
              <w:rPr>
                <w:rStyle w:val="Hyperlink"/>
                <w:noProof/>
              </w:rPr>
              <w:t>Introduction</w:t>
            </w:r>
            <w:r>
              <w:rPr>
                <w:noProof/>
                <w:webHidden/>
              </w:rPr>
              <w:tab/>
            </w:r>
            <w:r>
              <w:rPr>
                <w:noProof/>
                <w:webHidden/>
              </w:rPr>
              <w:fldChar w:fldCharType="begin"/>
            </w:r>
            <w:r>
              <w:rPr>
                <w:noProof/>
                <w:webHidden/>
              </w:rPr>
              <w:instrText xml:space="preserve"> PAGEREF _Toc516598406 \h </w:instrText>
            </w:r>
            <w:r>
              <w:rPr>
                <w:noProof/>
                <w:webHidden/>
              </w:rPr>
            </w:r>
            <w:r>
              <w:rPr>
                <w:noProof/>
                <w:webHidden/>
              </w:rPr>
              <w:fldChar w:fldCharType="separate"/>
            </w:r>
            <w:r>
              <w:rPr>
                <w:noProof/>
                <w:webHidden/>
              </w:rPr>
              <w:t>103</w:t>
            </w:r>
            <w:r>
              <w:rPr>
                <w:noProof/>
                <w:webHidden/>
              </w:rPr>
              <w:fldChar w:fldCharType="end"/>
            </w:r>
          </w:hyperlink>
        </w:p>
        <w:p w:rsidR="006E1BDE" w:rsidRDefault="00244DD3">
          <w:pPr>
            <w:pStyle w:val="TOC3"/>
            <w:tabs>
              <w:tab w:val="left" w:pos="1320"/>
            </w:tabs>
            <w:rPr>
              <w:rFonts w:asciiTheme="minorHAnsi" w:eastAsiaTheme="minorEastAsia" w:hAnsiTheme="minorHAnsi" w:cstheme="minorBidi"/>
              <w:noProof/>
              <w:color w:val="auto"/>
              <w:szCs w:val="22"/>
              <w:lang w:eastAsia="en-GB"/>
            </w:rPr>
          </w:pPr>
          <w:hyperlink w:anchor="_Toc516598407" w:history="1">
            <w:r>
              <w:rPr>
                <w:rStyle w:val="Hyperlink"/>
                <w:noProof/>
              </w:rPr>
              <w:t>1.7.2</w:t>
            </w:r>
            <w:r>
              <w:rPr>
                <w:rFonts w:asciiTheme="minorHAnsi" w:eastAsiaTheme="minorEastAsia" w:hAnsiTheme="minorHAnsi" w:cstheme="minorBidi"/>
                <w:noProof/>
                <w:color w:val="auto"/>
                <w:szCs w:val="22"/>
                <w:lang w:eastAsia="en-GB"/>
              </w:rPr>
              <w:tab/>
            </w:r>
            <w:r>
              <w:rPr>
                <w:rStyle w:val="Hyperlink"/>
                <w:noProof/>
              </w:rPr>
              <w:t>Carbon Capture and Utilisation (CCU) in the EU and India</w:t>
            </w:r>
            <w:r>
              <w:rPr>
                <w:noProof/>
                <w:webHidden/>
              </w:rPr>
              <w:tab/>
            </w:r>
            <w:r>
              <w:rPr>
                <w:noProof/>
                <w:webHidden/>
              </w:rPr>
              <w:fldChar w:fldCharType="begin"/>
            </w:r>
            <w:r>
              <w:rPr>
                <w:noProof/>
                <w:webHidden/>
              </w:rPr>
              <w:instrText xml:space="preserve"> PAGEREF _Toc516598407 \h </w:instrText>
            </w:r>
            <w:r>
              <w:rPr>
                <w:noProof/>
                <w:webHidden/>
              </w:rPr>
            </w:r>
            <w:r>
              <w:rPr>
                <w:noProof/>
                <w:webHidden/>
              </w:rPr>
              <w:fldChar w:fldCharType="separate"/>
            </w:r>
            <w:r>
              <w:rPr>
                <w:noProof/>
                <w:webHidden/>
              </w:rPr>
              <w:t>103</w:t>
            </w:r>
            <w:r>
              <w:rPr>
                <w:noProof/>
                <w:webHidden/>
              </w:rPr>
              <w:fldChar w:fldCharType="end"/>
            </w:r>
          </w:hyperlink>
        </w:p>
        <w:p w:rsidR="006E1BDE" w:rsidRDefault="00244DD3">
          <w:pPr>
            <w:rPr>
              <w:szCs w:val="22"/>
            </w:rPr>
          </w:pPr>
          <w:r>
            <w:rPr>
              <w:b/>
              <w:caps/>
              <w:color w:val="1C7EF9"/>
              <w:szCs w:val="22"/>
            </w:rPr>
            <w:fldChar w:fldCharType="end"/>
          </w:r>
        </w:p>
      </w:sdtContent>
    </w:sdt>
    <w:p w:rsidR="006E1BDE" w:rsidRDefault="00244DD3">
      <w:pPr>
        <w:numPr>
          <w:ilvl w:val="0"/>
          <w:numId w:val="0"/>
        </w:numPr>
        <w:spacing w:after="0" w:line="240" w:lineRule="auto"/>
        <w:jc w:val="left"/>
        <w:rPr>
          <w:rFonts w:eastAsiaTheme="majorEastAsia" w:cstheme="majorBidi"/>
          <w:b/>
          <w:bCs/>
          <w:caps/>
          <w:color w:val="1C7EF9"/>
          <w:szCs w:val="22"/>
        </w:rPr>
      </w:pPr>
      <w:r>
        <w:rPr>
          <w:szCs w:val="22"/>
        </w:rPr>
        <w:br w:type="page"/>
      </w:r>
    </w:p>
    <w:p w:rsidR="006E1BDE" w:rsidRDefault="00244DD3">
      <w:pPr>
        <w:pStyle w:val="Heading4"/>
        <w:rPr>
          <w:color w:val="1C7EF9"/>
        </w:rPr>
      </w:pPr>
      <w:r>
        <w:rPr>
          <w:iCs w:val="0"/>
          <w:sz w:val="22"/>
        </w:rPr>
        <w:lastRenderedPageBreak/>
        <w:t>List of abbreviations</w:t>
      </w:r>
    </w:p>
    <w:tbl>
      <w:tblPr>
        <w:tblStyle w:val="GridTable5Dark-Accent11"/>
        <w:tblW w:w="0" w:type="auto"/>
        <w:tblLook w:val="04A0" w:firstRow="1" w:lastRow="0" w:firstColumn="1" w:lastColumn="0" w:noHBand="0" w:noVBand="1"/>
      </w:tblPr>
      <w:tblGrid>
        <w:gridCol w:w="1413"/>
        <w:gridCol w:w="6884"/>
      </w:tblGrid>
      <w:tr w:rsidR="006E1BDE" w:rsidTr="006E1BDE">
        <w:trPr>
          <w:cnfStyle w:val="100000000000" w:firstRow="1" w:lastRow="0" w:firstColumn="0" w:lastColumn="0" w:oddVBand="0" w:evenVBand="0" w:oddHBand="0" w:evenHBand="0" w:firstRowFirstColumn="0" w:firstRowLastColumn="0" w:lastRowFirstColumn="0" w:lastRowLastColumn="0"/>
          <w:trHeight w:val="57"/>
          <w:tblHeader/>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numPr>
                <w:ilvl w:val="0"/>
                <w:numId w:val="0"/>
              </w:numPr>
              <w:spacing w:after="0" w:line="240" w:lineRule="auto"/>
              <w:jc w:val="center"/>
            </w:pPr>
            <w:r>
              <w:t>Acronym</w:t>
            </w:r>
          </w:p>
        </w:tc>
        <w:tc>
          <w:tcPr>
            <w:tcW w:w="6884" w:type="dxa"/>
            <w:noWrap/>
            <w:vAlign w:val="center"/>
            <w:hideMark/>
          </w:tcPr>
          <w:p w:rsidR="006E1BDE" w:rsidRDefault="00244DD3">
            <w:pPr>
              <w:spacing w:after="0" w:line="240" w:lineRule="auto"/>
              <w:jc w:val="center"/>
              <w:cnfStyle w:val="100000000000" w:firstRow="1" w:lastRow="0" w:firstColumn="0" w:lastColumn="0" w:oddVBand="0" w:evenVBand="0" w:oddHBand="0" w:evenHBand="0" w:firstRowFirstColumn="0" w:firstRowLastColumn="0" w:lastRowFirstColumn="0" w:lastRowLastColumn="0"/>
            </w:pPr>
            <w:r>
              <w:t>Meaning</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ART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Alternative Renewable Transport</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BALI</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Borregaard Advanced Lignin</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BBI JU</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Bio-Based Industries Joint Undertaking</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BRIC</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Brazil, Russia, India and China</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BTG</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Biomass Technology Group</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BTL</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Biomass-to-liquid</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CCU</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Carbon Capture and Utilisation</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CEN</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European Centre for Standardisation</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CFM</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Co-Funding Mechanism</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CHP</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Combined Heat &amp; Power</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CNG</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Compressed natural gas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CO</w:t>
            </w:r>
            <w:r>
              <w:rPr>
                <w:vertAlign w:val="subscript"/>
              </w:rPr>
              <w:t>2</w:t>
            </w:r>
            <w:r>
              <w:t>-eq.</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CO</w:t>
            </w:r>
            <w:r>
              <w:rPr>
                <w:vertAlign w:val="subscript"/>
              </w:rPr>
              <w:t xml:space="preserve">2 </w:t>
            </w:r>
            <w:r>
              <w:t>equivalent</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CTL</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Catalytic Thermo-Liquefaction</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DBT</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 xml:space="preserve">Department of Biotechnology, </w:t>
            </w:r>
            <w:r>
              <w:t>India</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DBT-ICT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The Department of Biotechnology of the Institute of Chemical Technology, Mumbai</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DHDS</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Diesel Hydrodesulfurization</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DHDT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Diesel Hydrotreating</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DME</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Dimethyl Ether</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DST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Indian Department of Science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EIB</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European Investment Bank</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EIF</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 xml:space="preserve">European </w:t>
            </w:r>
            <w:r>
              <w:t>Investment Fund</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EMPYRO</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Energy &amp; Materials from Pyrolysis</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ETBE</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Ethyl tertiary butyl ether</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EU</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European Union</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EU ETS</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EU Emissions Trading System</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EUR/GJ</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Euro / gigajoule</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EUR/MWh</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Euro / megawatt hour</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FOAK</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First-of-a-kind</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FP</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Framework Programme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FQD</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Fuel</w:t>
            </w:r>
            <w:r>
              <w:t xml:space="preserve"> Quality Directive</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FT Liquids</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Fischer-Tropsh Liquids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GDP</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Gross domestic product</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GHG</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Greenhouse gas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GTI</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Gas Technology Institute, Chicago</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GTI</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Gas Technology Institute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HEFA</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Hydroprocessed Esters and Fatty Acids</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HMU</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hydrogen manufacturing unit</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HVO</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Hydrotreated Vegetable Oils</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HVO</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Hydrotreated vegetable oils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ICT</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Institute of Chemical Technology, India</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IFPEN</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IFP Energies nouvelles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IGL</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India Glycol Ltd</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ILUC</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Indirect land use change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IMPRINT</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Impacting Research Innovation &amp; Technology</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INNOFIN</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Innovative financial instrument</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IOCL</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Indian Oil Corporation Ltd.</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lastRenderedPageBreak/>
              <w:t>KIT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Karlsruhe Institute of Technology</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LPG</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Liquefied Petroleum Gas</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MJ</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Megajoule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MMTPA</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Million Metric Tonne Per Annum</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MNRE</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Ministry of New and Renewable Energy</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MoES</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 xml:space="preserve">Ministry of Earth </w:t>
            </w:r>
            <w:r>
              <w:t>Sciences</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MoPNG</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Ministry of Petroleum and Natural Gas</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MPP</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Minimum Purchase Price</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MSW</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Municipal Solid Waste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NASA</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National Aeronautics and Space Administration</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NBCC</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National Biofuel Co-ordination Committee</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NBP</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National Biofuel Policy</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NEOT</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 xml:space="preserve">North </w:t>
            </w:r>
            <w:r>
              <w:t>European Oil Trade Oy</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NER</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 xml:space="preserve">New Entrants’ Reserve </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NEXBTL</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Neste Renewable Diesel</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PERC</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Phycospectrum Environmental Research Centre</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RCR</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Rotating Cone Reactor</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RDF</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Refuse Derived Fuel</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RECORD</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Renewable Energy Consortium for Research and Demonstration</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RED</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Renewable Energy Directive</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SHF</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Separate Hydrolysis and Fermentation</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SIRA</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Strategic Innovation and Research Agenda</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SSF</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Simultaneous Saccharification and Fermentation</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TPA</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Tonnes per annum</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TPD</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Tonnes per day</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TRL</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Technology readiness level</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UCOME</w:t>
            </w:r>
          </w:p>
        </w:tc>
        <w:tc>
          <w:tcPr>
            <w:tcW w:w="6884" w:type="dxa"/>
            <w:noWrap/>
            <w:vAlign w:val="center"/>
            <w:hideMark/>
          </w:tcPr>
          <w:p w:rsidR="006E1BDE" w:rsidRDefault="00244DD3">
            <w:pPr>
              <w:spacing w:after="0" w:line="240" w:lineRule="auto"/>
              <w:jc w:val="left"/>
              <w:cnfStyle w:val="000000100000" w:firstRow="0" w:lastRow="0" w:firstColumn="0" w:lastColumn="0" w:oddVBand="0" w:evenVBand="0" w:oddHBand="1" w:evenHBand="0" w:firstRowFirstColumn="0" w:firstRowLastColumn="0" w:lastRowFirstColumn="0" w:lastRowLastColumn="0"/>
            </w:pPr>
            <w:r>
              <w:t xml:space="preserve">Used </w:t>
            </w:r>
            <w:r>
              <w:t>Cooking Oils Methyl Ester</w:t>
            </w:r>
          </w:p>
        </w:tc>
      </w:tr>
      <w:tr w:rsidR="006E1BDE" w:rsidTr="006E1BDE">
        <w:trPr>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hideMark/>
          </w:tcPr>
          <w:p w:rsidR="006E1BDE" w:rsidRDefault="00244DD3">
            <w:pPr>
              <w:spacing w:after="0" w:line="240" w:lineRule="auto"/>
              <w:jc w:val="center"/>
            </w:pPr>
            <w:r>
              <w:t>VGF</w:t>
            </w:r>
          </w:p>
        </w:tc>
        <w:tc>
          <w:tcPr>
            <w:tcW w:w="6884" w:type="dxa"/>
            <w:noWrap/>
            <w:vAlign w:val="center"/>
            <w:hideMark/>
          </w:tcPr>
          <w:p w:rsidR="006E1BDE" w:rsidRDefault="00244DD3">
            <w:pPr>
              <w:spacing w:after="0" w:line="240" w:lineRule="auto"/>
              <w:jc w:val="left"/>
              <w:cnfStyle w:val="000000000000" w:firstRow="0" w:lastRow="0" w:firstColumn="0" w:lastColumn="0" w:oddVBand="0" w:evenVBand="0" w:oddHBand="0" w:evenHBand="0" w:firstRowFirstColumn="0" w:firstRowLastColumn="0" w:lastRowFirstColumn="0" w:lastRowLastColumn="0"/>
            </w:pPr>
            <w:r>
              <w:t>Viability Gap Funding</w:t>
            </w:r>
          </w:p>
        </w:tc>
      </w:tr>
      <w:tr w:rsidR="006E1BDE" w:rsidTr="006E1BDE">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413" w:type="dxa"/>
            <w:noWrap/>
            <w:vAlign w:val="center"/>
          </w:tcPr>
          <w:p w:rsidR="006E1BDE" w:rsidRDefault="006E1BDE">
            <w:pPr>
              <w:spacing w:after="0" w:line="240" w:lineRule="auto"/>
              <w:jc w:val="center"/>
            </w:pPr>
          </w:p>
        </w:tc>
        <w:tc>
          <w:tcPr>
            <w:tcW w:w="6884" w:type="dxa"/>
            <w:noWrap/>
            <w:vAlign w:val="center"/>
          </w:tcPr>
          <w:p w:rsidR="006E1BDE" w:rsidRDefault="006E1BDE">
            <w:pPr>
              <w:spacing w:after="0" w:line="240" w:lineRule="auto"/>
              <w:jc w:val="left"/>
              <w:cnfStyle w:val="000000100000" w:firstRow="0" w:lastRow="0" w:firstColumn="0" w:lastColumn="0" w:oddVBand="0" w:evenVBand="0" w:oddHBand="1" w:evenHBand="0" w:firstRowFirstColumn="0" w:firstRowLastColumn="0" w:lastRowFirstColumn="0" w:lastRowLastColumn="0"/>
            </w:pPr>
          </w:p>
        </w:tc>
      </w:tr>
    </w:tbl>
    <w:p w:rsidR="006E1BDE" w:rsidRDefault="00244DD3">
      <w:pPr>
        <w:numPr>
          <w:ilvl w:val="0"/>
          <w:numId w:val="0"/>
        </w:numPr>
        <w:rPr>
          <w:b/>
          <w:bCs/>
          <w:color w:val="1C7EF9"/>
        </w:rPr>
      </w:pPr>
      <w:r>
        <w:br w:type="page"/>
      </w:r>
    </w:p>
    <w:p w:rsidR="006E1BDE" w:rsidRDefault="00244DD3">
      <w:pPr>
        <w:pStyle w:val="Heading1"/>
        <w:rPr>
          <w:sz w:val="22"/>
          <w:szCs w:val="22"/>
        </w:rPr>
      </w:pPr>
      <w:bookmarkStart w:id="1" w:name="_Toc516598318"/>
      <w:r>
        <w:rPr>
          <w:sz w:val="22"/>
          <w:szCs w:val="22"/>
        </w:rPr>
        <w:lastRenderedPageBreak/>
        <w:t>Executive Summary</w:t>
      </w:r>
      <w:bookmarkEnd w:id="1"/>
    </w:p>
    <w:p w:rsidR="006E1BDE" w:rsidRDefault="00244DD3">
      <w:r>
        <w:t xml:space="preserve">This study on advanced biofuels in the EU and Indian was commissioned by Exergia S.A. in the context of the ART-Fuels Forum, in order to obtain a better understanding of the </w:t>
      </w:r>
      <w:r>
        <w:t>current policy and legal situation in the EU and India, as well as facilitating contacts and trade between relevant technology developers and industrial players in both jurisdictions.</w:t>
      </w:r>
    </w:p>
    <w:p w:rsidR="006E1BDE" w:rsidRDefault="00244DD3">
      <w:pPr>
        <w:numPr>
          <w:ilvl w:val="0"/>
          <w:numId w:val="0"/>
        </w:numPr>
      </w:pPr>
      <w:r>
        <w:t>Whereas the EU has a longstanding biofuels policy and legislative framew</w:t>
      </w:r>
      <w:r>
        <w:t>ork that has culminated in the current EU Renewable Energy Directive (RED), India's approach has been more ad hoc. In particular, it is currently based on its National Biofuel Policy, which is yet to be transposed into legislation. However, both jurisdicti</w:t>
      </w:r>
      <w:r>
        <w:t>ons have new legislation on the horizon. The EU is currently in the process of adopting the recast of the Renewable Energy Directive (RED-II), while in India the Cabinet approved the New National Policy on Biofuels (2018) in May 2018. The Policy is, howeve</w:t>
      </w:r>
      <w:r>
        <w:t>r, yet to be notified. Therefore the study analyses the RED and the 2009 Indian National Biofuel Policy for carrying out the comparative analysis. The study compares and contrasts the approaches in both jurisdictions. Whereas there are certain clear differ</w:t>
      </w:r>
      <w:r>
        <w:t xml:space="preserve">ences, there are also many similarities. </w:t>
      </w:r>
    </w:p>
    <w:p w:rsidR="006E1BDE" w:rsidRDefault="00244DD3">
      <w:pPr>
        <w:numPr>
          <w:ilvl w:val="0"/>
          <w:numId w:val="0"/>
        </w:numPr>
      </w:pPr>
      <w:r>
        <w:t>The primary source of legislation on biofuels in the EU is the RED, which is the result of several preceding policies and legislative acts, which sets a 10% target of renewable energy in transport. In India at pres</w:t>
      </w:r>
      <w:r>
        <w:t>ent it is the 2009 National Policy on Biofuels, which lays down an indicative 20% target for blending of biofuels by 2017. With the approval of the New Biofuel Policy-2018, India’s Biofuel program is undergoing a much-needed update. The EU is also in the p</w:t>
      </w:r>
      <w:r>
        <w:t>rocess of updating its legislation and is moving towards the adoption of the RED-II. If implemented, Member States would also require fuel suppliers to include a minimum share of energy from liquid and gaseous biofuels in the total amount of transport fuel</w:t>
      </w:r>
      <w:r>
        <w:t xml:space="preserve">s, an approach similar to that in India. </w:t>
      </w:r>
    </w:p>
    <w:p w:rsidR="006E1BDE" w:rsidRDefault="00244DD3">
      <w:pPr>
        <w:numPr>
          <w:ilvl w:val="0"/>
          <w:numId w:val="0"/>
        </w:numPr>
      </w:pPr>
      <w:r>
        <w:t>With respect to the comparative analysis, as a first point it is pertinent to note that the RED is a legislative Act, while the National Biofuels Policy, is merely a policy rather than legislation. Furthermore, whi</w:t>
      </w:r>
      <w:r>
        <w:t>le both the instruments recognise the role of biofuels in achieving similar goals of climate change mitigation, energy security as well as creating employment opportunities, the REDs key goal is climate change mitigation, while the NBP focuses on energy se</w:t>
      </w:r>
      <w:r>
        <w:t>curity. The NBP recognises biofuels as environmentally friendly fuels and thereby, their use in themselves would address the global concerns of containing carbon emissions. This significantly differs from the EU approach, which has set sustainability crite</w:t>
      </w:r>
      <w:r>
        <w:t>ria in the RED. Such sustainability criteria are currently missing from the Indian biofuel policy as it stands today.</w:t>
      </w:r>
    </w:p>
    <w:p w:rsidR="006E1BDE" w:rsidRDefault="00244DD3">
      <w:pPr>
        <w:numPr>
          <w:ilvl w:val="0"/>
          <w:numId w:val="0"/>
        </w:numPr>
      </w:pPr>
      <w:r>
        <w:t>Whereas both instruments have significant differences, there are also several similarities. Overall, they both aim to progress in a simila</w:t>
      </w:r>
      <w:r>
        <w:t>r direction. The key difference is the degree to which this is done. For instance, whereas both instruments encourage the development of advanced or second-generation biofuels, the RED goes further than the NBP. The NBP merely places a focus on financial i</w:t>
      </w:r>
      <w:r>
        <w:t xml:space="preserve">ncentives and R&amp;D for advanced biofuels, whereas the RED goes a step further and double counts the use thereof for the purpose of achieving the 10% target. In addition, whereas both instruments provide for a framework, in the case </w:t>
      </w:r>
      <w:r>
        <w:lastRenderedPageBreak/>
        <w:t>of the EU the Member Stat</w:t>
      </w:r>
      <w:r>
        <w:t>es must implement this in their national legislation, whereas the Indian states do not have to implement anything in their state legislation.</w:t>
      </w:r>
    </w:p>
    <w:p w:rsidR="006E1BDE" w:rsidRDefault="00244DD3">
      <w:r>
        <w:t>With respect to cooperation between the EU and India, there is a long established cooperation on Energy and Scienc</w:t>
      </w:r>
      <w:r>
        <w:t>e and Technology that has facilitated collaboration at various levels. This cooperation was strengthened by the EU-India Clean Energy and Climate Partnership following the Paris agreement. The EU-India Energy Panel meets annually and an energy security wor</w:t>
      </w:r>
      <w:r>
        <w:t>king group was launched in 2016. The EU-India joint Statement on Clean Energy &amp; Climate Change of 6 October 2017 added the topic of advanced biofuels as one of mutual importance aiming to step up cooperation between the two sides. As a first step the EU-In</w:t>
      </w:r>
      <w:r>
        <w:t>dia Conference on Advanced Biofuels was held on 6-8 March 2018 facilitating contacts from key technology and industry players from both sides.</w:t>
      </w:r>
    </w:p>
    <w:p w:rsidR="006E1BDE" w:rsidRDefault="00244DD3">
      <w:r>
        <w:t>Both EU and Indian technology developers have achieved significant progress on several value chains of advanced b</w:t>
      </w:r>
      <w:r>
        <w:t>iofuels and innovative technologies have reached the commercialization level or a high TRL level:</w:t>
      </w:r>
    </w:p>
    <w:p w:rsidR="006E1BDE" w:rsidRDefault="00244DD3">
      <w:pPr>
        <w:pStyle w:val="ListParagraph"/>
        <w:ind w:left="572" w:hanging="215"/>
      </w:pPr>
      <w:r>
        <w:t xml:space="preserve">Hydrotreated </w:t>
      </w:r>
      <w:r>
        <w:rPr>
          <w:szCs w:val="22"/>
        </w:rPr>
        <w:t>Vegetable</w:t>
      </w:r>
      <w:r>
        <w:t xml:space="preserve"> Oils is a commercial technology and several EU oil companies are either building new biorefineries or are modifying existing ones to pr</w:t>
      </w:r>
      <w:r>
        <w:t>oduce HVO fuels. HVO has limited market in India due to the scarcity of vegetable oils of used cooking oils.</w:t>
      </w:r>
    </w:p>
    <w:p w:rsidR="006E1BDE" w:rsidRDefault="00244DD3">
      <w:pPr>
        <w:pStyle w:val="ListParagraph"/>
        <w:ind w:left="572" w:hanging="215"/>
      </w:pPr>
      <w:r>
        <w:rPr>
          <w:szCs w:val="22"/>
        </w:rPr>
        <w:t>Biomethane</w:t>
      </w:r>
      <w:r>
        <w:t xml:space="preserve"> from anaerobic digestion is a commercial technology. Technology developers exist both in the EU and India and this is considered as a ke</w:t>
      </w:r>
      <w:r>
        <w:t>y area in both jurisdictions.</w:t>
      </w:r>
    </w:p>
    <w:p w:rsidR="006E1BDE" w:rsidRDefault="00244DD3">
      <w:pPr>
        <w:pStyle w:val="ListParagraph"/>
        <w:ind w:left="572" w:hanging="215"/>
      </w:pPr>
      <w:r>
        <w:t>Cellulosic ethanol of agricultural residues has been developed successfully by several technology developers in the EU and India and the first steps of commercialization are under way. Discussions on licensing the technology a</w:t>
      </w:r>
      <w:r>
        <w:t xml:space="preserve">re underway. Cellulosic ethanol of forestry residues has been developed in Finland but at present it has few prospects in India. </w:t>
      </w:r>
    </w:p>
    <w:p w:rsidR="006E1BDE" w:rsidRDefault="00244DD3">
      <w:pPr>
        <w:pStyle w:val="ListParagraph"/>
        <w:ind w:left="572" w:hanging="215"/>
      </w:pPr>
      <w:r>
        <w:t xml:space="preserve">Fast pyrolysis of biomass has reached the first commercialization steps in the EU while in India the thermochemical catalytic </w:t>
      </w:r>
      <w:r>
        <w:t>process has progressed significantly at is at TRL 8.</w:t>
      </w:r>
    </w:p>
    <w:p w:rsidR="006E1BDE" w:rsidRDefault="00244DD3">
      <w:pPr>
        <w:pStyle w:val="ListParagraph"/>
        <w:ind w:left="572" w:hanging="215"/>
      </w:pPr>
      <w:r>
        <w:t>Synthetic biofuels via the gasification process still have to reach large scale demonstration with the exception of synthetic biomethane. This value chain at present is lagging behind due to the relative</w:t>
      </w:r>
      <w:r>
        <w:t xml:space="preserve"> high costs for first-of-a-kind plants.</w:t>
      </w:r>
    </w:p>
    <w:p w:rsidR="006E1BDE" w:rsidRDefault="00244DD3">
      <w:pPr>
        <w:pStyle w:val="ListParagraph"/>
        <w:ind w:left="572" w:hanging="215"/>
      </w:pPr>
      <w:r>
        <w:t>Algal biofuels are considered relative expensive and in the near future there are little prospects for their commercialisation except those used to in waste water facilities for biomethane production.</w:t>
      </w:r>
    </w:p>
    <w:p w:rsidR="006E1BDE" w:rsidRDefault="00244DD3">
      <w:pPr>
        <w:pStyle w:val="ListParagraph"/>
        <w:ind w:left="572" w:hanging="215"/>
      </w:pPr>
      <w:r>
        <w:t>CCU fuels in co</w:t>
      </w:r>
      <w:r>
        <w:t>mbination with blast furnaces offer interesting prospects.</w:t>
      </w:r>
    </w:p>
    <w:p w:rsidR="006E1BDE" w:rsidRDefault="00244DD3">
      <w:pPr>
        <w:pStyle w:val="ListParagraph"/>
        <w:ind w:left="572" w:hanging="215"/>
      </w:pPr>
      <w:r>
        <w:t xml:space="preserve">Renewable fuels are in the early stages of development and they have very little prospects in India due to the power poverty of the country.  </w:t>
      </w:r>
    </w:p>
    <w:p w:rsidR="006E1BDE" w:rsidRDefault="00244DD3">
      <w:pPr>
        <w:numPr>
          <w:ilvl w:val="0"/>
          <w:numId w:val="0"/>
        </w:numPr>
      </w:pPr>
      <w:r>
        <w:t>In the EU the Framework Programmes have provided for l</w:t>
      </w:r>
      <w:r>
        <w:t xml:space="preserve">ong term continuity for the research community and the technology developers in developing and optimizing the </w:t>
      </w:r>
      <w:r>
        <w:lastRenderedPageBreak/>
        <w:t>various technology and value chains. In India too, there have been national programmes to support innovation in the area of biofuels and several r</w:t>
      </w:r>
      <w:r>
        <w:t>esearch centres have benefited. However it is clear that new and dedicated financial instruments are needed to support the significant investments necessary to build the first-of-a-kind plants for advanced biofuels, or otherwise the governments have to pro</w:t>
      </w:r>
      <w:r>
        <w:t>vide adequate finds to close the financial envelops.</w:t>
      </w:r>
    </w:p>
    <w:p w:rsidR="006E1BDE" w:rsidRDefault="00244DD3">
      <w:pPr>
        <w:numPr>
          <w:ilvl w:val="0"/>
          <w:numId w:val="0"/>
        </w:numPr>
        <w:rPr>
          <w:szCs w:val="22"/>
        </w:rPr>
      </w:pPr>
      <w:r>
        <w:t xml:space="preserve">These developments have created increasing trade and investments opportunities between the EU and India. </w:t>
      </w:r>
      <w:r>
        <w:rPr>
          <w:lang w:eastAsia="sv-SE"/>
        </w:rPr>
        <w:t>Despite a potential increase in such opportunities, there is also a potential for increased barrie</w:t>
      </w:r>
      <w:r>
        <w:rPr>
          <w:lang w:eastAsia="sv-SE"/>
        </w:rPr>
        <w:t>rs and other issues. Currently, some of these are more likely to be faced by first generation biofuels. For instance, as described above, biofuels must meet sustainability criteria in the EU to be counted towards renewable energy targets. At the same time,</w:t>
      </w:r>
      <w:r>
        <w:rPr>
          <w:lang w:eastAsia="sv-SE"/>
        </w:rPr>
        <w:t xml:space="preserve"> there is a cap on the use of first generation biofuels in the EU. These are potential barriers to trade, which are not faced by advanced biofuels. For instance, whereas there is a cap on the use of first generation biofuels, advanced biofuels have a targe</w:t>
      </w:r>
      <w:r>
        <w:rPr>
          <w:lang w:eastAsia="sv-SE"/>
        </w:rPr>
        <w:t>t and are double counted. With the current focus of the EU on advanced biofuels, and the growing focus on advanced biofuels in India, trade in advanced biofuels has a potentially brighter future ahead than trade in first generation biofuels.</w:t>
      </w:r>
    </w:p>
    <w:p w:rsidR="006E1BDE" w:rsidRDefault="00244DD3">
      <w:pPr>
        <w:pStyle w:val="Heading1"/>
        <w:rPr>
          <w:sz w:val="22"/>
          <w:szCs w:val="22"/>
        </w:rPr>
      </w:pPr>
      <w:bookmarkStart w:id="2" w:name="_Toc516598319"/>
      <w:r>
        <w:rPr>
          <w:sz w:val="22"/>
          <w:szCs w:val="22"/>
        </w:rPr>
        <w:lastRenderedPageBreak/>
        <w:t>Preamble</w:t>
      </w:r>
      <w:bookmarkEnd w:id="2"/>
    </w:p>
    <w:p w:rsidR="006E1BDE" w:rsidRDefault="00244DD3">
      <w:pPr>
        <w:rPr>
          <w:szCs w:val="22"/>
        </w:rPr>
      </w:pPr>
      <w:r>
        <w:rPr>
          <w:szCs w:val="22"/>
        </w:rPr>
        <w:t>The c</w:t>
      </w:r>
      <w:r>
        <w:rPr>
          <w:szCs w:val="22"/>
        </w:rPr>
        <w:t>onceptualisation for this study came out of discussions that took place during the first plenary meeting of the Alternative Renewable Transport Fuels Forum</w:t>
      </w:r>
      <w:r>
        <w:rPr>
          <w:rStyle w:val="FootnoteReference"/>
          <w:szCs w:val="22"/>
        </w:rPr>
        <w:footnoteReference w:id="1"/>
      </w:r>
      <w:r>
        <w:rPr>
          <w:szCs w:val="22"/>
        </w:rPr>
        <w:t xml:space="preserve"> (ART Fuels Forum) in Brussels on 04-05/05/2017 between MM YB Ramakrishna, Chair of the Biofuels Tas</w:t>
      </w:r>
      <w:r>
        <w:rPr>
          <w:szCs w:val="22"/>
        </w:rPr>
        <w:t>k Force of the Ministry of Petroleum and Natural Gas of India</w:t>
      </w:r>
      <w:r>
        <w:rPr>
          <w:rStyle w:val="FootnoteReference"/>
          <w:szCs w:val="22"/>
        </w:rPr>
        <w:footnoteReference w:id="2"/>
      </w:r>
      <w:r>
        <w:rPr>
          <w:szCs w:val="22"/>
        </w:rPr>
        <w:t>; representing India in the ART Fuels Forum, Theodore Goumas, CEO of EXERGIA S.A</w:t>
      </w:r>
      <w:r>
        <w:rPr>
          <w:rStyle w:val="FootnoteReference"/>
          <w:szCs w:val="22"/>
        </w:rPr>
        <w:footnoteReference w:id="3"/>
      </w:r>
      <w:r>
        <w:rPr>
          <w:szCs w:val="22"/>
        </w:rPr>
        <w:t>.; Coordinator of the ART Fuels Forum, Professor David Chiaramonti of the University of Florence and RECORD</w:t>
      </w:r>
      <w:r>
        <w:rPr>
          <w:rStyle w:val="FootnoteReference"/>
          <w:szCs w:val="22"/>
        </w:rPr>
        <w:footnoteReference w:id="4"/>
      </w:r>
      <w:r>
        <w:rPr>
          <w:szCs w:val="22"/>
        </w:rPr>
        <w:t>; Tec</w:t>
      </w:r>
      <w:r>
        <w:rPr>
          <w:szCs w:val="22"/>
        </w:rPr>
        <w:t>hnical Coordinator of the ART Fuels Forum and Kyriakos Maniatis of the European Commission; principal administrator in Directorate General for Energy</w:t>
      </w:r>
      <w:r>
        <w:rPr>
          <w:rStyle w:val="FootnoteReference"/>
          <w:szCs w:val="22"/>
        </w:rPr>
        <w:footnoteReference w:id="5"/>
      </w:r>
      <w:r>
        <w:rPr>
          <w:szCs w:val="22"/>
        </w:rPr>
        <w:t xml:space="preserve"> for the ART Fuels Forum.</w:t>
      </w:r>
    </w:p>
    <w:p w:rsidR="006E1BDE" w:rsidRDefault="00244DD3">
      <w:pPr>
        <w:numPr>
          <w:ilvl w:val="0"/>
          <w:numId w:val="0"/>
        </w:numPr>
        <w:rPr>
          <w:szCs w:val="22"/>
        </w:rPr>
      </w:pPr>
      <w:r>
        <w:rPr>
          <w:szCs w:val="22"/>
        </w:rPr>
        <w:t xml:space="preserve">The participation of India in the ART Fuels Forum provided the basis for closer </w:t>
      </w:r>
      <w:r>
        <w:rPr>
          <w:szCs w:val="22"/>
        </w:rPr>
        <w:t>cooperation between technology developers and industrial players on both sides via direct contacts. At the same time, it became apparent that the Indian government had started the implementation of a national program to accelerate the deployment of advance</w:t>
      </w:r>
      <w:r>
        <w:rPr>
          <w:szCs w:val="22"/>
        </w:rPr>
        <w:t>d biofuels under the management of the Ministry of Petroleum and Natural Gas of India. This national program</w:t>
      </w:r>
      <w:r>
        <w:rPr>
          <w:rStyle w:val="FootnoteReference"/>
          <w:szCs w:val="22"/>
        </w:rPr>
        <w:footnoteReference w:id="6"/>
      </w:r>
      <w:r>
        <w:rPr>
          <w:szCs w:val="22"/>
        </w:rPr>
        <w:t xml:space="preserve">aims to construct 12 biorefineries in India by 2025 in an effort to improve the security of energy supply for the country. </w:t>
      </w:r>
    </w:p>
    <w:p w:rsidR="006E1BDE" w:rsidRDefault="00244DD3">
      <w:pPr>
        <w:numPr>
          <w:ilvl w:val="0"/>
          <w:numId w:val="0"/>
        </w:numPr>
        <w:rPr>
          <w:szCs w:val="22"/>
        </w:rPr>
      </w:pPr>
      <w:r>
        <w:rPr>
          <w:szCs w:val="22"/>
        </w:rPr>
        <w:t>It became apparent duri</w:t>
      </w:r>
      <w:r>
        <w:rPr>
          <w:szCs w:val="22"/>
        </w:rPr>
        <w:t>ng the above mentioned discussion that a study analysing the policies and legislations in India and the EU as well as providing for a reliable understanding of the status and readiness of the various technologies and the related costs for advanced biofuels</w:t>
      </w:r>
      <w:r>
        <w:rPr>
          <w:szCs w:val="22"/>
        </w:rPr>
        <w:t>, was necessary to facilitate the cooperation between technology developers and industrial players on both sides.</w:t>
      </w:r>
    </w:p>
    <w:p w:rsidR="006E1BDE" w:rsidRDefault="00244DD3">
      <w:pPr>
        <w:numPr>
          <w:ilvl w:val="0"/>
          <w:numId w:val="0"/>
        </w:numPr>
        <w:rPr>
          <w:szCs w:val="22"/>
        </w:rPr>
      </w:pPr>
      <w:r>
        <w:rPr>
          <w:szCs w:val="22"/>
        </w:rPr>
        <w:t>The ART Fuels Forum management decided to undertake this study to:</w:t>
      </w:r>
    </w:p>
    <w:p w:rsidR="006E1BDE" w:rsidRDefault="00244DD3">
      <w:pPr>
        <w:pStyle w:val="ListParagraph"/>
        <w:ind w:left="572" w:hanging="215"/>
        <w:rPr>
          <w:szCs w:val="22"/>
        </w:rPr>
      </w:pPr>
      <w:r>
        <w:rPr>
          <w:szCs w:val="22"/>
          <w:lang w:eastAsia="sv-SE"/>
        </w:rPr>
        <w:t>Facilitate</w:t>
      </w:r>
      <w:r>
        <w:rPr>
          <w:szCs w:val="22"/>
        </w:rPr>
        <w:t xml:space="preserve"> the exchange of information between technology developers and ke</w:t>
      </w:r>
      <w:r>
        <w:rPr>
          <w:szCs w:val="22"/>
        </w:rPr>
        <w:t>y industry players between the two sides,</w:t>
      </w:r>
    </w:p>
    <w:p w:rsidR="006E1BDE" w:rsidRDefault="00244DD3">
      <w:pPr>
        <w:pStyle w:val="ListParagraph"/>
        <w:ind w:left="572" w:hanging="215"/>
        <w:rPr>
          <w:szCs w:val="22"/>
        </w:rPr>
      </w:pPr>
      <w:r>
        <w:rPr>
          <w:szCs w:val="22"/>
        </w:rPr>
        <w:t>Assist all interested parties from both India and the EU to understand the policies and existing legislation in the other jurisdiction,</w:t>
      </w:r>
    </w:p>
    <w:p w:rsidR="006E1BDE" w:rsidRDefault="00244DD3">
      <w:pPr>
        <w:pStyle w:val="ListParagraph"/>
        <w:ind w:left="572" w:hanging="215"/>
        <w:rPr>
          <w:szCs w:val="22"/>
        </w:rPr>
      </w:pPr>
      <w:r>
        <w:rPr>
          <w:szCs w:val="22"/>
        </w:rPr>
        <w:t xml:space="preserve">Provide opportunities for EU technology developers to cooperate directly with </w:t>
      </w:r>
      <w:r>
        <w:rPr>
          <w:szCs w:val="22"/>
        </w:rPr>
        <w:t>their Indian counterparts in entering joint venture and/or licencing agreements for participating in the Indian government’s drive to build the 12 biorefineries,</w:t>
      </w:r>
    </w:p>
    <w:p w:rsidR="006E1BDE" w:rsidRDefault="00244DD3">
      <w:pPr>
        <w:pStyle w:val="ListParagraph"/>
        <w:ind w:left="572" w:hanging="215"/>
        <w:rPr>
          <w:szCs w:val="22"/>
        </w:rPr>
      </w:pPr>
      <w:r>
        <w:rPr>
          <w:szCs w:val="22"/>
        </w:rPr>
        <w:t>Inform key stakeholders of funding opportunities for innovation support across the whole value</w:t>
      </w:r>
      <w:r>
        <w:rPr>
          <w:szCs w:val="22"/>
        </w:rPr>
        <w:t xml:space="preserve"> chain (from biomass production to the production of advanced biofuels) in both India and the EU.</w:t>
      </w:r>
    </w:p>
    <w:p w:rsidR="006E1BDE" w:rsidRDefault="00244DD3">
      <w:pPr>
        <w:pStyle w:val="Heading1"/>
        <w:rPr>
          <w:sz w:val="22"/>
          <w:szCs w:val="22"/>
        </w:rPr>
      </w:pPr>
      <w:bookmarkStart w:id="3" w:name="_Toc516598320"/>
      <w:r>
        <w:rPr>
          <w:sz w:val="22"/>
          <w:szCs w:val="22"/>
        </w:rPr>
        <w:lastRenderedPageBreak/>
        <w:t>Aims and Objectives of the Study</w:t>
      </w:r>
      <w:bookmarkEnd w:id="3"/>
    </w:p>
    <w:p w:rsidR="006E1BDE" w:rsidRDefault="00244DD3">
      <w:pPr>
        <w:numPr>
          <w:ilvl w:val="0"/>
          <w:numId w:val="0"/>
        </w:numPr>
        <w:rPr>
          <w:szCs w:val="22"/>
        </w:rPr>
      </w:pPr>
      <w:r>
        <w:rPr>
          <w:szCs w:val="22"/>
        </w:rPr>
        <w:t xml:space="preserve">This report addresses advanced biofuels in India and the EU with main aim to provide a reliable basis for understanding of: </w:t>
      </w:r>
    </w:p>
    <w:p w:rsidR="006E1BDE" w:rsidRDefault="00244DD3">
      <w:pPr>
        <w:pStyle w:val="ListParagraph"/>
        <w:ind w:left="572" w:hanging="215"/>
        <w:rPr>
          <w:szCs w:val="22"/>
        </w:rPr>
      </w:pPr>
      <w:r>
        <w:rPr>
          <w:szCs w:val="22"/>
        </w:rPr>
        <w:t xml:space="preserve">the policies </w:t>
      </w:r>
    </w:p>
    <w:p w:rsidR="006E1BDE" w:rsidRDefault="00244DD3">
      <w:pPr>
        <w:pStyle w:val="ListParagraph"/>
        <w:ind w:left="572" w:hanging="215"/>
        <w:rPr>
          <w:szCs w:val="22"/>
        </w:rPr>
      </w:pPr>
      <w:r>
        <w:rPr>
          <w:szCs w:val="22"/>
        </w:rPr>
        <w:t xml:space="preserve">the existing legislation </w:t>
      </w:r>
    </w:p>
    <w:p w:rsidR="006E1BDE" w:rsidRDefault="00244DD3">
      <w:pPr>
        <w:pStyle w:val="ListParagraph"/>
        <w:ind w:left="572" w:hanging="215"/>
        <w:rPr>
          <w:szCs w:val="22"/>
        </w:rPr>
      </w:pPr>
      <w:r>
        <w:rPr>
          <w:szCs w:val="22"/>
        </w:rPr>
        <w:t>the status and reliability of the various value chains and technologies</w:t>
      </w:r>
    </w:p>
    <w:p w:rsidR="006E1BDE" w:rsidRDefault="00244DD3">
      <w:pPr>
        <w:pStyle w:val="ListParagraph"/>
        <w:ind w:left="572" w:hanging="215"/>
        <w:rPr>
          <w:szCs w:val="22"/>
        </w:rPr>
      </w:pPr>
      <w:r>
        <w:rPr>
          <w:szCs w:val="22"/>
        </w:rPr>
        <w:t xml:space="preserve">the basic costs </w:t>
      </w:r>
    </w:p>
    <w:p w:rsidR="006E1BDE" w:rsidRDefault="00244DD3">
      <w:pPr>
        <w:pStyle w:val="ListParagraph"/>
        <w:ind w:left="572" w:hanging="215"/>
        <w:rPr>
          <w:szCs w:val="22"/>
        </w:rPr>
      </w:pPr>
      <w:r>
        <w:rPr>
          <w:szCs w:val="22"/>
        </w:rPr>
        <w:t>the various opportunities for financial support</w:t>
      </w:r>
    </w:p>
    <w:p w:rsidR="006E1BDE" w:rsidRDefault="00244DD3">
      <w:pPr>
        <w:pStyle w:val="ListParagraph"/>
        <w:ind w:left="572" w:hanging="215"/>
        <w:rPr>
          <w:szCs w:val="22"/>
        </w:rPr>
      </w:pPr>
      <w:r>
        <w:rPr>
          <w:szCs w:val="22"/>
        </w:rPr>
        <w:t xml:space="preserve">the key technology developers and industry players </w:t>
      </w:r>
    </w:p>
    <w:p w:rsidR="006E1BDE" w:rsidRDefault="00244DD3">
      <w:pPr>
        <w:numPr>
          <w:ilvl w:val="0"/>
          <w:numId w:val="0"/>
        </w:numPr>
        <w:rPr>
          <w:szCs w:val="22"/>
        </w:rPr>
      </w:pPr>
      <w:r>
        <w:rPr>
          <w:szCs w:val="22"/>
        </w:rPr>
        <w:t>India and the EU have devel</w:t>
      </w:r>
      <w:r>
        <w:rPr>
          <w:szCs w:val="22"/>
        </w:rPr>
        <w:t xml:space="preserve">oped reliable technologies for crop based biofuels, those so called </w:t>
      </w:r>
      <w:r>
        <w:rPr>
          <w:i/>
          <w:szCs w:val="22"/>
        </w:rPr>
        <w:t>first generation biofuels</w:t>
      </w:r>
      <w:r>
        <w:rPr>
          <w:szCs w:val="22"/>
        </w:rPr>
        <w:t xml:space="preserve"> or those based on vegetable oils, sugars and grains. Therefore, the technical analysis of this study excludes any crop-based biofuel as out of scope and addresses</w:t>
      </w:r>
      <w:r>
        <w:rPr>
          <w:szCs w:val="22"/>
        </w:rPr>
        <w:t xml:space="preserve"> only advanced biofuels. </w:t>
      </w:r>
    </w:p>
    <w:p w:rsidR="006E1BDE" w:rsidRDefault="00244DD3">
      <w:pPr>
        <w:numPr>
          <w:ilvl w:val="0"/>
          <w:numId w:val="0"/>
        </w:numPr>
        <w:rPr>
          <w:szCs w:val="22"/>
        </w:rPr>
      </w:pPr>
      <w:r>
        <w:rPr>
          <w:szCs w:val="22"/>
        </w:rPr>
        <w:t>Furthermore, the study addresses only value chains and advanced biofuels that are close to industrial deployment or large-scale demonstration since these can be reasonably expected to reach market deployment in the very near futur</w:t>
      </w:r>
      <w:r>
        <w:rPr>
          <w:szCs w:val="22"/>
        </w:rPr>
        <w:t xml:space="preserve">e and can contribute to the national program of India and the policies in the EU.  </w:t>
      </w:r>
    </w:p>
    <w:p w:rsidR="006E1BDE" w:rsidRDefault="00244DD3">
      <w:pPr>
        <w:numPr>
          <w:ilvl w:val="0"/>
          <w:numId w:val="0"/>
        </w:numPr>
        <w:rPr>
          <w:szCs w:val="22"/>
        </w:rPr>
      </w:pPr>
      <w:r>
        <w:rPr>
          <w:szCs w:val="22"/>
        </w:rPr>
        <w:t>Via the work undertaken herewith and the overall results of the EU-India Conference on Advanced Biofuels</w:t>
      </w:r>
      <w:r>
        <w:rPr>
          <w:rStyle w:val="FootnoteReference"/>
          <w:szCs w:val="22"/>
        </w:rPr>
        <w:footnoteReference w:id="7"/>
      </w:r>
      <w:r>
        <w:rPr>
          <w:szCs w:val="22"/>
        </w:rPr>
        <w:t xml:space="preserve"> this study provides an excellent basis for understanding the oppor</w:t>
      </w:r>
      <w:r>
        <w:rPr>
          <w:szCs w:val="22"/>
        </w:rPr>
        <w:t>tunities and prospects for promoting the deployment of advanced biofuels in both India and the EU. Furthermore it is clear that Indian technology providers have achieved significant progress in some of the value chains and already intensive cooperation exi</w:t>
      </w:r>
      <w:r>
        <w:rPr>
          <w:szCs w:val="22"/>
        </w:rPr>
        <w:t>sts between parties from both sides. Therefore, realistic options exist for technology providers from both sides in deploying their technologies in the other’s market via joint ventures and licensing agreements.</w:t>
      </w:r>
    </w:p>
    <w:p w:rsidR="006E1BDE" w:rsidRDefault="00244DD3">
      <w:pPr>
        <w:numPr>
          <w:ilvl w:val="0"/>
          <w:numId w:val="0"/>
        </w:numPr>
        <w:rPr>
          <w:szCs w:val="22"/>
        </w:rPr>
      </w:pPr>
      <w:r>
        <w:rPr>
          <w:szCs w:val="22"/>
        </w:rPr>
        <w:t xml:space="preserve">The main objective of this work has been to </w:t>
      </w:r>
      <w:r>
        <w:rPr>
          <w:szCs w:val="22"/>
        </w:rPr>
        <w:t>provide a clear view of the landscape on advanced biofuels facilitating the deployment of advanced biofuels technologies in both India and the EU while at the same time promoting and facilitating the cooperation amongst the several stakeholders.</w:t>
      </w:r>
    </w:p>
    <w:p w:rsidR="006E1BDE" w:rsidRDefault="00244DD3">
      <w:pPr>
        <w:numPr>
          <w:ilvl w:val="0"/>
          <w:numId w:val="0"/>
        </w:numPr>
        <w:rPr>
          <w:szCs w:val="22"/>
        </w:rPr>
      </w:pPr>
      <w:r>
        <w:rPr>
          <w:szCs w:val="22"/>
        </w:rPr>
        <w:t xml:space="preserve"> </w:t>
      </w:r>
    </w:p>
    <w:p w:rsidR="006E1BDE" w:rsidRDefault="00244DD3">
      <w:pPr>
        <w:pStyle w:val="Heading1"/>
        <w:rPr>
          <w:sz w:val="22"/>
          <w:szCs w:val="22"/>
        </w:rPr>
      </w:pPr>
      <w:bookmarkStart w:id="4" w:name="_Toc516598321"/>
      <w:r>
        <w:rPr>
          <w:sz w:val="22"/>
          <w:szCs w:val="22"/>
        </w:rPr>
        <w:lastRenderedPageBreak/>
        <w:t>Overview</w:t>
      </w:r>
      <w:r>
        <w:rPr>
          <w:sz w:val="22"/>
          <w:szCs w:val="22"/>
        </w:rPr>
        <w:t xml:space="preserve"> and comparison of existing legislation and policies in the EU and India</w:t>
      </w:r>
      <w:bookmarkEnd w:id="4"/>
    </w:p>
    <w:p w:rsidR="006E1BDE" w:rsidRDefault="00244DD3">
      <w:pPr>
        <w:pStyle w:val="Heading2"/>
      </w:pPr>
      <w:bookmarkStart w:id="5" w:name="_Toc516598322"/>
      <w:r>
        <w:t>Introduction</w:t>
      </w:r>
      <w:bookmarkEnd w:id="5"/>
    </w:p>
    <w:p w:rsidR="006E1BDE" w:rsidRDefault="00244DD3">
      <w:r>
        <w:t>This section will provide an overview of the past and current legislation and/or policies on biofuels in the EU and India. It will also briefly discuss possible legislati</w:t>
      </w:r>
      <w:r>
        <w:t>on that is in the pipeline. The aim is to provide an overview of the key elements of the biofuels legislation and/or policies in the EU and India. The section does not aim to give an exhaustive overview of every provision applicable to biofuels. For instan</w:t>
      </w:r>
      <w:r>
        <w:t xml:space="preserve">ce, issues related to taxation or customs duties are not covered, as these are considered to be out of the scope of the present study. </w:t>
      </w:r>
    </w:p>
    <w:p w:rsidR="006E1BDE" w:rsidRDefault="00244DD3">
      <w:r>
        <w:t>After having provided the overview of the key elements, the section will continue by providing a comparative analysis be</w:t>
      </w:r>
      <w:r>
        <w:t>tween the key elements in the EU and in India.</w:t>
      </w:r>
    </w:p>
    <w:p w:rsidR="006E1BDE" w:rsidRDefault="00244DD3">
      <w:pPr>
        <w:pStyle w:val="Heading2"/>
      </w:pPr>
      <w:bookmarkStart w:id="6" w:name="_Toc516598323"/>
      <w:r>
        <w:t>Overview of EU policies and legislation</w:t>
      </w:r>
      <w:bookmarkEnd w:id="6"/>
    </w:p>
    <w:p w:rsidR="006E1BDE" w:rsidRDefault="00244DD3">
      <w:pPr>
        <w:spacing w:after="0"/>
        <w:rPr>
          <w:rFonts w:eastAsia="Times New Roman"/>
          <w:color w:val="222222"/>
          <w:szCs w:val="22"/>
          <w:shd w:val="clear" w:color="auto" w:fill="FFFFFF"/>
        </w:rPr>
      </w:pPr>
      <w:r>
        <w:rPr>
          <w:rFonts w:eastAsia="Times New Roman"/>
          <w:color w:val="222222"/>
          <w:szCs w:val="22"/>
          <w:shd w:val="clear" w:color="auto" w:fill="FFFFFF"/>
        </w:rPr>
        <w:t xml:space="preserve">This section provides an overview of past, current and future EU policies and legislation on biofuels. It shows how the EU biofuels policy has evolved over the past two </w:t>
      </w:r>
      <w:r>
        <w:rPr>
          <w:rFonts w:eastAsia="Times New Roman"/>
          <w:color w:val="222222"/>
          <w:szCs w:val="22"/>
          <w:shd w:val="clear" w:color="auto" w:fill="FFFFFF"/>
        </w:rPr>
        <w:t>decades, and how the first EU legislation on biofuels emerged in 2003 and eventually evolved as part of the 2009 EU Renewable Energy Directive, as amended. It also looks ahead at the proposed future legislation.</w:t>
      </w:r>
    </w:p>
    <w:p w:rsidR="006E1BDE" w:rsidRDefault="00244DD3">
      <w:pPr>
        <w:pStyle w:val="Heading3"/>
      </w:pPr>
      <w:bookmarkStart w:id="7" w:name="_Toc516598324"/>
      <w:r>
        <w:t xml:space="preserve">Renewable Energy: Green Paper and White </w:t>
      </w:r>
      <w:r>
        <w:t>Paper</w:t>
      </w:r>
      <w:bookmarkEnd w:id="7"/>
    </w:p>
    <w:p w:rsidR="006E1BDE" w:rsidRDefault="00244DD3">
      <w:pPr>
        <w:numPr>
          <w:ilvl w:val="0"/>
          <w:numId w:val="0"/>
        </w:numPr>
        <w:rPr>
          <w:szCs w:val="22"/>
        </w:rPr>
      </w:pPr>
      <w:r>
        <w:rPr>
          <w:szCs w:val="22"/>
        </w:rPr>
        <w:t>As a first step towards forming a comprehensive strategy for renewable energy the European Commission adopted a Green Paper on renewable energy sources in November 1996</w:t>
      </w:r>
      <w:r>
        <w:rPr>
          <w:rStyle w:val="FootnoteReference"/>
          <w:szCs w:val="22"/>
        </w:rPr>
        <w:footnoteReference w:id="8"/>
      </w:r>
      <w:r>
        <w:rPr>
          <w:szCs w:val="22"/>
        </w:rPr>
        <w:t xml:space="preserve"> proposing a 12% penetration of renewables in the energy mix by 2010. The Europea</w:t>
      </w:r>
      <w:r>
        <w:rPr>
          <w:szCs w:val="22"/>
        </w:rPr>
        <w:t xml:space="preserve">n Parliament in its Resolution on the Green Paper recognised the importance of renewable energy in combating the greenhouse gas effect, contributing to the security of energy supplies and creating jobs in small and medium enterprises and rural regions and </w:t>
      </w:r>
      <w:r>
        <w:rPr>
          <w:szCs w:val="22"/>
        </w:rPr>
        <w:t>went even further proposing a goal of a 15% share of renewables for the European Union by the year 2010. This was followed by another communication the following year on the 'Energy Dimension of Climate Change</w:t>
      </w:r>
      <w:r>
        <w:rPr>
          <w:bCs/>
          <w:szCs w:val="22"/>
        </w:rPr>
        <w:t>' aiming to identify</w:t>
      </w:r>
      <w:r>
        <w:rPr>
          <w:szCs w:val="22"/>
        </w:rPr>
        <w:t xml:space="preserve"> a series of energy actions</w:t>
      </w:r>
      <w:r>
        <w:rPr>
          <w:szCs w:val="22"/>
        </w:rPr>
        <w:t xml:space="preserve"> - including a prominent role for renewables in view of fighting climate change.</w:t>
      </w:r>
      <w:r>
        <w:rPr>
          <w:rStyle w:val="FootnoteReference"/>
          <w:szCs w:val="22"/>
        </w:rPr>
        <w:footnoteReference w:id="9"/>
      </w:r>
    </w:p>
    <w:p w:rsidR="006E1BDE" w:rsidRDefault="00244DD3">
      <w:pPr>
        <w:numPr>
          <w:ilvl w:val="0"/>
          <w:numId w:val="0"/>
        </w:numPr>
        <w:rPr>
          <w:szCs w:val="22"/>
        </w:rPr>
      </w:pPr>
      <w:r>
        <w:rPr>
          <w:szCs w:val="22"/>
        </w:rPr>
        <w:t>In November 1997 the European Commission issued the Communication 'Energy for the future: Renewable sources of energy – White Paper for a Community Strategy and Action Plan'</w:t>
      </w:r>
      <w:r>
        <w:rPr>
          <w:rStyle w:val="FootnoteReference"/>
          <w:szCs w:val="22"/>
        </w:rPr>
        <w:footnoteReference w:id="10"/>
      </w:r>
      <w:r>
        <w:rPr>
          <w:szCs w:val="22"/>
        </w:rPr>
        <w:t xml:space="preserve"> which put forward specific targets for renewable energy. The European Union had recognised the urgent need to tackle climate change and had also adopted a negotiating position of 15% greenhouse gas emissions reduction target for industrialised countries b</w:t>
      </w:r>
      <w:r>
        <w:rPr>
          <w:szCs w:val="22"/>
        </w:rPr>
        <w:t xml:space="preserve">y the year 2010 from the 1990 level. </w:t>
      </w:r>
    </w:p>
    <w:p w:rsidR="006E1BDE" w:rsidRDefault="00244DD3">
      <w:pPr>
        <w:autoSpaceDE w:val="0"/>
        <w:autoSpaceDN w:val="0"/>
        <w:adjustRightInd w:val="0"/>
        <w:rPr>
          <w:szCs w:val="22"/>
        </w:rPr>
      </w:pPr>
      <w:r>
        <w:rPr>
          <w:szCs w:val="22"/>
        </w:rPr>
        <w:t xml:space="preserve">In the Green Paper on Renewables the Commission sought views on the setting of an indicative objective of 12% for the contribution by renewable sources of energy to the European Union’s gross inland energy consumption </w:t>
      </w:r>
      <w:r>
        <w:rPr>
          <w:szCs w:val="22"/>
        </w:rPr>
        <w:t>by 2010. The White Paper went further, proposing specific targets for renewable electricity and recommending action on biofuels</w:t>
      </w:r>
      <w:r>
        <w:rPr>
          <w:rStyle w:val="FootnoteReference"/>
          <w:szCs w:val="22"/>
        </w:rPr>
        <w:footnoteReference w:id="11"/>
      </w:r>
      <w:r>
        <w:rPr>
          <w:szCs w:val="22"/>
        </w:rPr>
        <w:t xml:space="preserve">: </w:t>
      </w:r>
      <w:r>
        <w:rPr>
          <w:i/>
          <w:szCs w:val="22"/>
        </w:rPr>
        <w:t xml:space="preserve">'Specific measures are needed in order to help increase the market share for </w:t>
      </w:r>
      <w:r>
        <w:rPr>
          <w:i/>
          <w:iCs/>
          <w:szCs w:val="22"/>
        </w:rPr>
        <w:t xml:space="preserve">liquid biofuels </w:t>
      </w:r>
      <w:r>
        <w:rPr>
          <w:i/>
          <w:szCs w:val="22"/>
        </w:rPr>
        <w:t>from the current 0.3% to a signif</w:t>
      </w:r>
      <w:r>
        <w:rPr>
          <w:i/>
          <w:szCs w:val="22"/>
        </w:rPr>
        <w:t>icantly higher percentage, in collaboration</w:t>
      </w:r>
      <w:r>
        <w:rPr>
          <w:i/>
          <w:iCs/>
          <w:szCs w:val="22"/>
        </w:rPr>
        <w:t xml:space="preserve"> </w:t>
      </w:r>
      <w:r>
        <w:rPr>
          <w:i/>
          <w:szCs w:val="22"/>
        </w:rPr>
        <w:t>with Member States</w:t>
      </w:r>
      <w:r>
        <w:rPr>
          <w:szCs w:val="22"/>
        </w:rPr>
        <w:t>.' It further placed the car and oil industry in a central position as the key stakeholders and clearly stated the need for taking into account the full cycle of environmental cost/benefits to a</w:t>
      </w:r>
      <w:r>
        <w:rPr>
          <w:szCs w:val="22"/>
        </w:rPr>
        <w:t xml:space="preserve">void adverse effects on the environment: </w:t>
      </w:r>
      <w:r>
        <w:rPr>
          <w:i/>
          <w:szCs w:val="22"/>
        </w:rPr>
        <w:t xml:space="preserve">'The overall environmental effect varies from biofuel to biofuel and depends, amongst others, on the crop cultivated and the crops replaced. Promotion of biofuels has to be coherent with the </w:t>
      </w:r>
      <w:r>
        <w:rPr>
          <w:i/>
          <w:iCs/>
          <w:szCs w:val="22"/>
        </w:rPr>
        <w:t>AutoOil Programme</w:t>
      </w:r>
      <w:r>
        <w:rPr>
          <w:rStyle w:val="FootnoteReference"/>
          <w:i/>
          <w:iCs/>
          <w:szCs w:val="22"/>
        </w:rPr>
        <w:footnoteReference w:id="12"/>
      </w:r>
      <w:r>
        <w:rPr>
          <w:i/>
          <w:iCs/>
          <w:szCs w:val="22"/>
        </w:rPr>
        <w:t xml:space="preserve"> </w:t>
      </w:r>
      <w:r>
        <w:rPr>
          <w:i/>
          <w:szCs w:val="22"/>
        </w:rPr>
        <w:t xml:space="preserve">and </w:t>
      </w:r>
      <w:r>
        <w:rPr>
          <w:i/>
          <w:szCs w:val="22"/>
        </w:rPr>
        <w:t>the European policy on fuel quality, and should take account of the full cycle of environmental costs/benefits.</w:t>
      </w:r>
      <w:r>
        <w:rPr>
          <w:szCs w:val="22"/>
        </w:rPr>
        <w:t>' The White Paper also proposed that a market-share of 2% for liquid biofuels could still be considered as a pilot phase.</w:t>
      </w:r>
      <w:r>
        <w:rPr>
          <w:rStyle w:val="FootnoteReference"/>
          <w:szCs w:val="22"/>
        </w:rPr>
        <w:footnoteReference w:id="13"/>
      </w:r>
    </w:p>
    <w:p w:rsidR="006E1BDE" w:rsidRDefault="00244DD3">
      <w:pPr>
        <w:numPr>
          <w:ilvl w:val="0"/>
          <w:numId w:val="0"/>
        </w:numPr>
        <w:autoSpaceDE w:val="0"/>
        <w:autoSpaceDN w:val="0"/>
        <w:adjustRightInd w:val="0"/>
        <w:rPr>
          <w:szCs w:val="22"/>
        </w:rPr>
      </w:pPr>
      <w:r>
        <w:t>In the meantime the Wh</w:t>
      </w:r>
      <w:r>
        <w:t>ite paper on Transport</w:t>
      </w:r>
      <w:r>
        <w:rPr>
          <w:rStyle w:val="FootnoteReference"/>
        </w:rPr>
        <w:footnoteReference w:id="14"/>
      </w:r>
      <w:r>
        <w:t xml:space="preserve"> identified that the transport sector accounted for more than 30 % of final energy consumption in the Community, which was only expanding. It also estimated that CO2 emissions from transport were to rise by 50 % between 1990 and 2010</w:t>
      </w:r>
      <w:r>
        <w:t>, to around 1,113 million tonnes, the main responsibility resting with road transport, which accounted for 84 % of transport-related CO2 emissions. From an ecological point of view, the White Paper therefore called for dependence on oil (currently 98 %) in</w:t>
      </w:r>
      <w:r>
        <w:t xml:space="preserve"> the transport sector to be reduced by using alternative fuels such as biofuels. Moreover the White Paper on Transport placed sustainable development as a new imperative. </w:t>
      </w:r>
    </w:p>
    <w:p w:rsidR="006E1BDE" w:rsidRDefault="00244DD3">
      <w:pPr>
        <w:pStyle w:val="Heading3"/>
      </w:pPr>
      <w:bookmarkStart w:id="8" w:name="_Toc516598325"/>
      <w:r>
        <w:t xml:space="preserve">Directive 2003/30/EC on the Promotion and use of biofuels and other renewable </w:t>
      </w:r>
      <w:r>
        <w:tab/>
        <w:t>fuels</w:t>
      </w:r>
      <w:r>
        <w:t xml:space="preserve"> for transport</w:t>
      </w:r>
      <w:bookmarkEnd w:id="8"/>
    </w:p>
    <w:p w:rsidR="006E1BDE" w:rsidRDefault="00244DD3">
      <w:pPr>
        <w:autoSpaceDE w:val="0"/>
        <w:autoSpaceDN w:val="0"/>
        <w:adjustRightInd w:val="0"/>
        <w:rPr>
          <w:szCs w:val="22"/>
        </w:rPr>
      </w:pPr>
      <w:r>
        <w:rPr>
          <w:szCs w:val="22"/>
        </w:rPr>
        <w:t>The first specific legislative action for biofuels was the Biofuels Directive of 8 May 2003 that set indicative targets for a minimum proportion of biofuels to be placed on the market: 2% in 2005 and 5.75% in 2010</w:t>
      </w:r>
      <w:r>
        <w:rPr>
          <w:rStyle w:val="FootnoteReference"/>
          <w:szCs w:val="22"/>
        </w:rPr>
        <w:footnoteReference w:id="15"/>
      </w:r>
      <w:r>
        <w:rPr>
          <w:szCs w:val="22"/>
        </w:rPr>
        <w:t xml:space="preserve">. In its first recital the </w:t>
      </w:r>
      <w:r>
        <w:rPr>
          <w:szCs w:val="22"/>
        </w:rPr>
        <w:t>directive makes reference to the Community strategy for sustainable development as agreed by the European Council meeting at Gothenburg on 15 and 16 June 2001: "….on a Community strategy for sustainable development consisting in a set of measures, which in</w:t>
      </w:r>
      <w:r>
        <w:rPr>
          <w:szCs w:val="22"/>
        </w:rPr>
        <w:t>clude the development of biofuels." In its Article 3(b) the Directive put forward reference values of 2% and 5.75%</w:t>
      </w:r>
      <w:r>
        <w:rPr>
          <w:rStyle w:val="FootnoteReference"/>
          <w:szCs w:val="22"/>
        </w:rPr>
        <w:footnoteReference w:id="16"/>
      </w:r>
      <w:r>
        <w:rPr>
          <w:szCs w:val="22"/>
        </w:rPr>
        <w:t xml:space="preserve"> respectively to be achieved for 31/12/2005 and 31/12/2010. However, since the reference values carried no serious legal consequences they ha</w:t>
      </w:r>
      <w:r>
        <w:rPr>
          <w:szCs w:val="22"/>
        </w:rPr>
        <w:t>d no strong effect in the deployment of biofuels in the EU with the exception of few countries (e.g. Germany and France).</w:t>
      </w:r>
    </w:p>
    <w:p w:rsidR="006E1BDE" w:rsidRDefault="00244DD3">
      <w:pPr>
        <w:pStyle w:val="Heading3"/>
      </w:pPr>
      <w:bookmarkStart w:id="9" w:name="_Toc516598326"/>
      <w:r>
        <w:t>Fuel Quality Directive</w:t>
      </w:r>
      <w:bookmarkEnd w:id="9"/>
    </w:p>
    <w:p w:rsidR="006E1BDE" w:rsidRDefault="00244DD3">
      <w:pPr>
        <w:rPr>
          <w:rFonts w:ascii="Calibri" w:hAnsi="Calibri"/>
        </w:rPr>
      </w:pPr>
      <w:r>
        <w:t>The Fuel Quality Directive (FQD)</w:t>
      </w:r>
      <w:r>
        <w:rPr>
          <w:rStyle w:val="FootnoteReference"/>
        </w:rPr>
        <w:footnoteReference w:id="17"/>
      </w:r>
      <w:r>
        <w:t xml:space="preserve"> sets technical standards for road transport fuels. It applies to petrol, dies</w:t>
      </w:r>
      <w:r>
        <w:t>el and biofuels used in road transport as well as to gasoil used in non-road-mobile machinery (e.g. tractors and agricultural machinery). Together with the Renewable Energy Directive, it also regulates the sustainability of biofuels. In particular, Article</w:t>
      </w:r>
      <w:r>
        <w:t xml:space="preserve"> 7a requires suppliers to reduce the greenhouse gas (GHG) intensity of automotive fuels that they market in the EU. By the end of 2020, fuels suppliers are obliged to reduce these fuels’ lifecycle GHG intensity by at least 6% compared to 2010. </w:t>
      </w:r>
    </w:p>
    <w:p w:rsidR="006E1BDE" w:rsidRDefault="00244DD3">
      <w:r>
        <w:t>The greenho</w:t>
      </w:r>
      <w:r>
        <w:t>use gas intensity of fuels is calculated on a life-cycle basis, covering emissions from extraction, processing and distribution. Emissions reductions are calculated from a 2010 baseline. The 6% reduction target is likely to be mainly achieved through:</w:t>
      </w:r>
    </w:p>
    <w:p w:rsidR="006E1BDE" w:rsidRDefault="00244DD3">
      <w:pPr>
        <w:pStyle w:val="ListParagraph"/>
        <w:ind w:left="572" w:hanging="215"/>
      </w:pPr>
      <w:r>
        <w:t xml:space="preserve">the </w:t>
      </w:r>
      <w:r>
        <w:t>use of biofuels, electricity, less carbon intense (often gaseous) fossil fuels, and renewable fuels of non-biological origin (such as e-fuels)</w:t>
      </w:r>
    </w:p>
    <w:p w:rsidR="006E1BDE" w:rsidRDefault="00244DD3">
      <w:pPr>
        <w:pStyle w:val="ListParagraph"/>
        <w:ind w:left="572" w:hanging="215"/>
      </w:pPr>
      <w:r>
        <w:t>a reduction of flaring and venting at the extraction stage of fossil fuel feedstocks.</w:t>
      </w:r>
    </w:p>
    <w:p w:rsidR="006E1BDE" w:rsidRDefault="00244DD3">
      <w:r>
        <w:t>Since the adoption of the D</w:t>
      </w:r>
      <w:r>
        <w:t>irective the implementation measures resulted in an intense policy debate, in particular on the methodology to calculate the lifecycle GHG intensity of refinery fuels according to Article 7a. Following the policy debate, Council Directive (EU) 2015/652 def</w:t>
      </w:r>
      <w:r>
        <w:t>ines the method to be applied and the details for the reporting of the greenhouse gas intensity of fuels. The Directive outlines a calculation methodology based on EU wide GHG intensity default values until 2020, for gasoline (93.3 gCO2eg/MJ) and for diese</w:t>
      </w:r>
      <w:r>
        <w:t>l (95.1 gCO</w:t>
      </w:r>
      <w:r>
        <w:rPr>
          <w:vertAlign w:val="subscript"/>
        </w:rPr>
        <w:t>2</w:t>
      </w:r>
      <w:r>
        <w:t>eg/MJ). Furthermore it includes a reporting obligation of the feedstock origins to monitor the evolution of the mix coming into the EU over time. The directive gives fuel suppliers a clear basis on which they can comply with.</w:t>
      </w:r>
    </w:p>
    <w:p w:rsidR="006E1BDE" w:rsidRDefault="00244DD3">
      <w:pPr>
        <w:numPr>
          <w:ilvl w:val="0"/>
          <w:numId w:val="0"/>
        </w:numPr>
        <w:autoSpaceDE w:val="0"/>
        <w:autoSpaceDN w:val="0"/>
        <w:adjustRightInd w:val="0"/>
        <w:rPr>
          <w:szCs w:val="22"/>
        </w:rPr>
      </w:pPr>
      <w:r>
        <w:t>There are currentl</w:t>
      </w:r>
      <w:r>
        <w:t>y no plans to extend the greenhouse gas reduction target beyond the year 2020. Instead, the Commission has proposed to address the decarbonisation of transport fuels after 2020 in the framework of a revised Renewable Energy Directive.</w:t>
      </w:r>
    </w:p>
    <w:p w:rsidR="006E1BDE" w:rsidRDefault="00244DD3">
      <w:pPr>
        <w:pStyle w:val="Heading3"/>
      </w:pPr>
      <w:bookmarkStart w:id="10" w:name="_Toc516598327"/>
      <w:r>
        <w:t>Renewable Energy Dire</w:t>
      </w:r>
      <w:r>
        <w:t>ctive 2009, as amended</w:t>
      </w:r>
      <w:bookmarkEnd w:id="10"/>
    </w:p>
    <w:p w:rsidR="006E1BDE" w:rsidRDefault="00244DD3">
      <w:pPr>
        <w:rPr>
          <w:szCs w:val="22"/>
        </w:rPr>
      </w:pPr>
      <w:r>
        <w:t>The primary source of EU legislation regarding biofuels is the</w:t>
      </w:r>
      <w:r>
        <w:rPr>
          <w:szCs w:val="22"/>
        </w:rPr>
        <w:t xml:space="preserve"> Renewable Energy Directive (RED),</w:t>
      </w:r>
      <w:r>
        <w:rPr>
          <w:rStyle w:val="FootnoteReference"/>
          <w:szCs w:val="22"/>
        </w:rPr>
        <w:footnoteReference w:id="18"/>
      </w:r>
      <w:r>
        <w:rPr>
          <w:szCs w:val="22"/>
        </w:rPr>
        <w:t xml:space="preserve"> which establishes an overall policy for the production and promotion of energy from renewable sources in the EU. It entered into force </w:t>
      </w:r>
      <w:r>
        <w:rPr>
          <w:szCs w:val="22"/>
        </w:rPr>
        <w:t>on 25 June 2009 and works towards the objectives of promoting the reduction of greenhouse gas emissions through the use of renewable energy sources, security of energy supply as well as providing opportunities for employment and regional development, espec</w:t>
      </w:r>
      <w:r>
        <w:rPr>
          <w:szCs w:val="22"/>
        </w:rPr>
        <w:t xml:space="preserve">ially in rural and isolated areas. </w:t>
      </w:r>
    </w:p>
    <w:p w:rsidR="006E1BDE" w:rsidRDefault="00244DD3">
      <w:pPr>
        <w:numPr>
          <w:ilvl w:val="0"/>
          <w:numId w:val="0"/>
        </w:numPr>
        <w:rPr>
          <w:szCs w:val="22"/>
        </w:rPr>
      </w:pPr>
      <w:r>
        <w:rPr>
          <w:szCs w:val="22"/>
        </w:rPr>
        <w:t>The RED distinguishes between biofuels and bioliquids.</w:t>
      </w:r>
      <w:r>
        <w:rPr>
          <w:rStyle w:val="FootnoteReference"/>
          <w:szCs w:val="22"/>
        </w:rPr>
        <w:footnoteReference w:id="19"/>
      </w:r>
      <w:r>
        <w:rPr>
          <w:szCs w:val="22"/>
        </w:rPr>
        <w:t xml:space="preserve"> Whereas "biofuels" are limited to "liquid or gaseous fuel for transport produced for biomass", "bioliquids" are defined as "liquid fuel for energy purposes other th</w:t>
      </w:r>
      <w:r>
        <w:rPr>
          <w:szCs w:val="22"/>
        </w:rPr>
        <w:t xml:space="preserve">an for transport, including electricity and heating and cooling, produced from biomass. In essence, biofuels and bioliquids are the same product, the only difference being their usage. </w:t>
      </w:r>
    </w:p>
    <w:p w:rsidR="006E1BDE" w:rsidRDefault="00244DD3">
      <w:pPr>
        <w:numPr>
          <w:ilvl w:val="0"/>
          <w:numId w:val="0"/>
        </w:numPr>
        <w:rPr>
          <w:szCs w:val="22"/>
        </w:rPr>
      </w:pPr>
      <w:r>
        <w:rPr>
          <w:szCs w:val="22"/>
        </w:rPr>
        <w:t>A requirement is imposed on EU Member States to obtain a share of ener</w:t>
      </w:r>
      <w:r>
        <w:rPr>
          <w:szCs w:val="22"/>
        </w:rPr>
        <w:t>gy from renewable sources in all forms of transport of at least 10% by 2020.</w:t>
      </w:r>
      <w:r>
        <w:rPr>
          <w:rStyle w:val="FootnoteReference"/>
          <w:szCs w:val="22"/>
        </w:rPr>
        <w:footnoteReference w:id="20"/>
      </w:r>
      <w:r>
        <w:rPr>
          <w:szCs w:val="22"/>
        </w:rPr>
        <w:t xml:space="preserve"> It is generally accepted that biofuels will be the main renewable energy source in attempting to reach this target.</w:t>
      </w:r>
      <w:r>
        <w:rPr>
          <w:rStyle w:val="FootnoteReference"/>
          <w:szCs w:val="22"/>
        </w:rPr>
        <w:footnoteReference w:id="21"/>
      </w:r>
      <w:r>
        <w:rPr>
          <w:szCs w:val="22"/>
        </w:rPr>
        <w:t xml:space="preserve"> By means of an amendment implemented in 2015, a limit of 7% h</w:t>
      </w:r>
      <w:r>
        <w:rPr>
          <w:szCs w:val="22"/>
        </w:rPr>
        <w:t>as been imposed for biofuels produced from crops grown on agricultural land. There is an exception for certain specific feedstocks and fuels, which include advanced biofuels as well as biofuels produced from used cooking oil and animal fats. These fall out</w:t>
      </w:r>
      <w:r>
        <w:rPr>
          <w:szCs w:val="22"/>
        </w:rPr>
        <w:t>side the 7% limit.</w:t>
      </w:r>
      <w:r>
        <w:rPr>
          <w:rStyle w:val="FootnoteReference"/>
          <w:szCs w:val="22"/>
        </w:rPr>
        <w:footnoteReference w:id="22"/>
      </w:r>
      <w:r>
        <w:rPr>
          <w:szCs w:val="22"/>
        </w:rPr>
        <w:t xml:space="preserve">  This 7% limit was introduced to address concerns related to indirect land use change (ILUC).</w:t>
      </w:r>
      <w:r>
        <w:rPr>
          <w:rStyle w:val="FootnoteReference"/>
          <w:szCs w:val="22"/>
        </w:rPr>
        <w:footnoteReference w:id="23"/>
      </w:r>
      <w:r>
        <w:rPr>
          <w:szCs w:val="22"/>
        </w:rPr>
        <w:t xml:space="preserve"> There is also an indicative target of 0.5% for advanced biofuels.</w:t>
      </w:r>
      <w:r>
        <w:rPr>
          <w:rStyle w:val="FootnoteReference"/>
          <w:szCs w:val="22"/>
        </w:rPr>
        <w:footnoteReference w:id="24"/>
      </w:r>
      <w:r>
        <w:rPr>
          <w:szCs w:val="22"/>
        </w:rPr>
        <w:t xml:space="preserve"> Finally, advanced biofuels, as well as biofuels produced from used cooking</w:t>
      </w:r>
      <w:r>
        <w:rPr>
          <w:szCs w:val="22"/>
        </w:rPr>
        <w:t xml:space="preserve"> oil and animal fats are double counted towards the 10% target.</w:t>
      </w:r>
      <w:r>
        <w:rPr>
          <w:rStyle w:val="FootnoteReference"/>
          <w:szCs w:val="22"/>
        </w:rPr>
        <w:footnoteReference w:id="25"/>
      </w:r>
    </w:p>
    <w:p w:rsidR="006E1BDE" w:rsidRDefault="00244DD3">
      <w:r>
        <w:rPr>
          <w:szCs w:val="22"/>
        </w:rPr>
        <w:t>In order to be counted towards the target biofuels must meet certain sustainability criteria, irrespective of whether they were produced using raw materials cultivated inside or outside the E</w:t>
      </w:r>
      <w:r>
        <w:rPr>
          <w:szCs w:val="22"/>
        </w:rPr>
        <w:t>U.</w:t>
      </w:r>
      <w:r>
        <w:rPr>
          <w:rStyle w:val="FootnoteReference"/>
          <w:szCs w:val="22"/>
        </w:rPr>
        <w:footnoteReference w:id="26"/>
      </w:r>
      <w:r>
        <w:rPr>
          <w:szCs w:val="22"/>
        </w:rPr>
        <w:t xml:space="preserve"> This is to ensure that the biofuels consumed in the EU are sustainable. </w:t>
      </w:r>
      <w:r>
        <w:t>The sustainability criteria consist of various requirements. First, the GHG emission savings from the use of biofuels as compared to the use of fossil fuels must amount to at least</w:t>
      </w:r>
      <w:r>
        <w:t xml:space="preserve"> 60% for biofuels produced in installations starting operation after 5 October 2015. With respect to installations that were in operation on or prior to this date, the GHG emission savings must amount to at least 35% until 31 December 2017, after which the</w:t>
      </w:r>
      <w:r>
        <w:t>y must amount to at least 50%.</w:t>
      </w:r>
      <w:r>
        <w:rPr>
          <w:vertAlign w:val="superscript"/>
        </w:rPr>
        <w:t xml:space="preserve"> </w:t>
      </w:r>
      <w:r>
        <w:t>Furthermore, in order to meet the sustainability criteria, biofuels may not be made from raw material deriving from land with high biodiversity value, high carbon stock, or peatland, as defined in the RED.</w:t>
      </w:r>
      <w:r>
        <w:rPr>
          <w:rStyle w:val="FootnoteReference"/>
        </w:rPr>
        <w:footnoteReference w:id="27"/>
      </w:r>
      <w:r>
        <w:t xml:space="preserve"> </w:t>
      </w:r>
    </w:p>
    <w:p w:rsidR="006E1BDE" w:rsidRDefault="00244DD3">
      <w:r>
        <w:t xml:space="preserve">The RED provides </w:t>
      </w:r>
      <w:r>
        <w:t>for several possibilities for producers to calculate the GHG emission saving levels of a particular type of biofuel, namely by:</w:t>
      </w:r>
    </w:p>
    <w:p w:rsidR="006E1BDE" w:rsidRDefault="00244DD3">
      <w:pPr>
        <w:pStyle w:val="ListParagraph"/>
        <w:ind w:left="572" w:hanging="215"/>
      </w:pPr>
      <w:r>
        <w:t>relying on default values for GHG emission savings that assign a standard GHG emission saving value for each type of biofuel dep</w:t>
      </w:r>
      <w:r>
        <w:t>ending on the  raw material used;</w:t>
      </w:r>
    </w:p>
    <w:p w:rsidR="006E1BDE" w:rsidRDefault="00244DD3">
      <w:pPr>
        <w:pStyle w:val="ListParagraph"/>
        <w:ind w:left="572" w:hanging="215"/>
      </w:pPr>
      <w:r>
        <w:t>calculating the actual GHG emission savings themselves, using a method provided for in the Directive; or</w:t>
      </w:r>
    </w:p>
    <w:p w:rsidR="006E1BDE" w:rsidRDefault="00244DD3">
      <w:pPr>
        <w:pStyle w:val="ListParagraph"/>
        <w:ind w:left="572" w:hanging="215"/>
      </w:pPr>
      <w:r>
        <w:t>calculating actual values for one or more steps in the production process, while relying on disaggregate default valu</w:t>
      </w:r>
      <w:r>
        <w:t>es for the remaining steps.</w:t>
      </w:r>
    </w:p>
    <w:p w:rsidR="006E1BDE" w:rsidRDefault="00244DD3">
      <w:pPr>
        <w:numPr>
          <w:ilvl w:val="0"/>
          <w:numId w:val="0"/>
        </w:numPr>
      </w:pPr>
      <w:r>
        <w:t>Details regarding the calculation of the default values are provided in the RED.</w:t>
      </w:r>
    </w:p>
    <w:p w:rsidR="006E1BDE" w:rsidRDefault="00244DD3">
      <w:r>
        <w:t>In order to further increase the flexibility of the measure, the Commission can approve independent voluntary certification schemes through comitol</w:t>
      </w:r>
      <w:r>
        <w:t>ogy.</w:t>
      </w:r>
      <w:r>
        <w:rPr>
          <w:vertAlign w:val="superscript"/>
        </w:rPr>
        <w:footnoteReference w:id="28"/>
      </w:r>
      <w:r>
        <w:t xml:space="preserve"> There are several approved voluntary certification schemes that market operators can use.</w:t>
      </w:r>
      <w:r>
        <w:rPr>
          <w:rStyle w:val="FootnoteReference"/>
        </w:rPr>
        <w:footnoteReference w:id="29"/>
      </w:r>
      <w:r>
        <w:t xml:space="preserve"> A fuel supplier that is certified by such voluntary schemes is assumed to meet the requirements of the Directive and need not provide any further information regarding the sustainability of its biofuels. The Commission may also enter into international ag</w:t>
      </w:r>
      <w:r>
        <w:t>reements with other countries on the matter. Biofuels produced with raw materials originating from signatory countries may also be assumed to meet the sustainability criteria of the RED.</w:t>
      </w:r>
      <w:r>
        <w:rPr>
          <w:vertAlign w:val="superscript"/>
        </w:rPr>
        <w:footnoteReference w:id="30"/>
      </w:r>
    </w:p>
    <w:p w:rsidR="006E1BDE" w:rsidRDefault="00244DD3">
      <w:pPr>
        <w:numPr>
          <w:ilvl w:val="0"/>
          <w:numId w:val="0"/>
        </w:numPr>
        <w:rPr>
          <w:szCs w:val="22"/>
        </w:rPr>
      </w:pPr>
      <w:r>
        <w:rPr>
          <w:szCs w:val="22"/>
        </w:rPr>
        <w:t xml:space="preserve">Finally, financial support for the consumption of biofuels may only </w:t>
      </w:r>
      <w:r>
        <w:rPr>
          <w:szCs w:val="22"/>
        </w:rPr>
        <w:t>be given to biofuels meeting the sustainability criteria.</w:t>
      </w:r>
      <w:r>
        <w:rPr>
          <w:rStyle w:val="FootnoteReference"/>
          <w:szCs w:val="22"/>
        </w:rPr>
        <w:footnoteReference w:id="31"/>
      </w:r>
    </w:p>
    <w:p w:rsidR="006E1BDE" w:rsidRDefault="00244DD3">
      <w:pPr>
        <w:rPr>
          <w:szCs w:val="22"/>
        </w:rPr>
      </w:pPr>
      <w:r>
        <w:rPr>
          <w:szCs w:val="22"/>
        </w:rPr>
        <w:t xml:space="preserve">EU Member </w:t>
      </w:r>
      <w:r>
        <w:t>States</w:t>
      </w:r>
      <w:r>
        <w:rPr>
          <w:szCs w:val="22"/>
        </w:rPr>
        <w:t xml:space="preserve"> must report to the European Commission every two years the progress they have achieved with respect to their implementation of the RED, including with respect to biofuels.</w:t>
      </w:r>
      <w:r>
        <w:rPr>
          <w:rStyle w:val="FootnoteReference"/>
          <w:szCs w:val="22"/>
        </w:rPr>
        <w:footnoteReference w:id="32"/>
      </w:r>
      <w:r>
        <w:rPr>
          <w:szCs w:val="22"/>
        </w:rPr>
        <w:t xml:space="preserve"> The Eur</w:t>
      </w:r>
      <w:r>
        <w:rPr>
          <w:szCs w:val="22"/>
        </w:rPr>
        <w:t>opean Commission must monitor several elements under the RED, in general but also specifically related to biofuels, and publish consolidated reports for the EU based on its monitoring as well as the Member State reports.</w:t>
      </w:r>
      <w:r>
        <w:rPr>
          <w:rStyle w:val="FootnoteReference"/>
          <w:szCs w:val="22"/>
        </w:rPr>
        <w:footnoteReference w:id="33"/>
      </w:r>
    </w:p>
    <w:p w:rsidR="006E1BDE" w:rsidRDefault="00244DD3">
      <w:pPr>
        <w:pStyle w:val="Heading3"/>
      </w:pPr>
      <w:bookmarkStart w:id="11" w:name="_Toc516598328"/>
      <w:r>
        <w:t>Legislation and policies in the pi</w:t>
      </w:r>
      <w:r>
        <w:t>peline</w:t>
      </w:r>
      <w:bookmarkEnd w:id="11"/>
    </w:p>
    <w:p w:rsidR="006E1BDE" w:rsidRDefault="00244DD3">
      <w:pPr>
        <w:pStyle w:val="Heading4"/>
        <w:rPr>
          <w:iCs w:val="0"/>
          <w:sz w:val="22"/>
        </w:rPr>
      </w:pPr>
      <w:r>
        <w:rPr>
          <w:iCs w:val="0"/>
          <w:sz w:val="22"/>
        </w:rPr>
        <w:t>The Energy Union</w:t>
      </w:r>
    </w:p>
    <w:p w:rsidR="006E1BDE" w:rsidRDefault="00244DD3">
      <w:r>
        <w:t>The Energy Union</w:t>
      </w:r>
      <w:r>
        <w:rPr>
          <w:rStyle w:val="FootnoteReference"/>
        </w:rPr>
        <w:footnoteReference w:id="34"/>
      </w:r>
      <w:r>
        <w:t xml:space="preserve"> of 2015 identified the policies and strategies that are needed for Europe's transition to a low-carbon society while delivering jobs, growth and investments. Furthermore the Energy Union has to support a socially f</w:t>
      </w:r>
      <w:r>
        <w:t>air clean energy transition. On November 24, 2017 the European Commission adopted the 3</w:t>
      </w:r>
      <w:r>
        <w:rPr>
          <w:vertAlign w:val="superscript"/>
        </w:rPr>
        <w:t>rd</w:t>
      </w:r>
      <w:r>
        <w:t xml:space="preserve"> Report on the State of the Energy Union which shows that Europe's transition to a low-carbon society is becoming the new reality. The 3</w:t>
      </w:r>
      <w:r>
        <w:rPr>
          <w:vertAlign w:val="superscript"/>
        </w:rPr>
        <w:t>rd</w:t>
      </w:r>
      <w:r>
        <w:t xml:space="preserve"> State of the Energy Union al</w:t>
      </w:r>
      <w:r>
        <w:t>so confirmed that energy transition is not possible without adapting the infrastructure to the needs of the future energy system. Energy, transport and telecommunication infrastructure are more and more interlinked. Local networks will become ever more imp</w:t>
      </w:r>
      <w:r>
        <w:t>ortant in the daily lives of European citizens, who will increasingly switch to electro-mobility, decentralised energy production and demand response.</w:t>
      </w:r>
    </w:p>
    <w:p w:rsidR="006E1BDE" w:rsidRDefault="00244DD3">
      <w:pPr>
        <w:pStyle w:val="Heading4"/>
        <w:rPr>
          <w:iCs w:val="0"/>
          <w:sz w:val="22"/>
        </w:rPr>
      </w:pPr>
      <w:r>
        <w:rPr>
          <w:iCs w:val="0"/>
          <w:sz w:val="22"/>
        </w:rPr>
        <w:t>The 2016 Winter Package</w:t>
      </w:r>
    </w:p>
    <w:p w:rsidR="006E1BDE" w:rsidRDefault="00244DD3">
      <w:r>
        <w:t>On 30 November 2016 the European Commission presented a package of measures and p</w:t>
      </w:r>
      <w:r>
        <w:t>olicy initiatives, the “Winter Package”</w:t>
      </w:r>
      <w:r>
        <w:rPr>
          <w:rStyle w:val="FootnoteReference"/>
        </w:rPr>
        <w:footnoteReference w:id="35"/>
      </w:r>
      <w:r>
        <w:t>, to keep the European Union competitive as the clean energy transition changes global energy markets. The European Commission wants the EU to lead the clean energy transition, not only adapt to it. In taking the ini</w:t>
      </w:r>
      <w:r>
        <w:t>tiative for global leadership the EU has committed to cut CO2 emissions by at least 40% by 2030. The proposals have three main goals: putting energy efficiency first, achieving global leadership in renewable energies and providing a fair deal for consumers</w:t>
      </w:r>
      <w:r>
        <w:t>. The Commission’s proposals aim to place the European Consumers at the centre of the energy markets of the future especially for the production and supply of renewable electricity.  Consumers across the EU will in the future be active energy market player</w:t>
      </w:r>
      <w:r>
        <w:t>s with a better choice of supply and the possibility to produce and sell their own electricity. Increased transparency and better regulation give more opportunities for civil society to become more involved in the energy system and respond to price signals</w:t>
      </w:r>
      <w:r>
        <w:t>. The package also contains a number of measures aimed at protecting the most vulnerable consumers.</w:t>
      </w:r>
    </w:p>
    <w:p w:rsidR="006E1BDE" w:rsidRDefault="00244DD3">
      <w:r>
        <w:t>The Winter Package included eight proposals to facilitate the transition to a clean energy economy and to reform the EU energy systems along the policy dire</w:t>
      </w:r>
      <w:r>
        <w:t>ctions of the Energy Union. Among the proposal some proposed amendments to existing energy market legislation; other proposed amendments to existing climate change legislation while there were few proposals for new measures.</w:t>
      </w:r>
    </w:p>
    <w:p w:rsidR="006E1BDE" w:rsidRDefault="00244DD3">
      <w:pPr>
        <w:pStyle w:val="Heading4"/>
        <w:rPr>
          <w:iCs w:val="0"/>
          <w:sz w:val="22"/>
        </w:rPr>
      </w:pPr>
      <w:r>
        <w:rPr>
          <w:iCs w:val="0"/>
          <w:sz w:val="22"/>
        </w:rPr>
        <w:t>The recast of the Renewable Ene</w:t>
      </w:r>
      <w:r>
        <w:rPr>
          <w:iCs w:val="0"/>
          <w:sz w:val="22"/>
        </w:rPr>
        <w:t>rgy Directive</w:t>
      </w:r>
    </w:p>
    <w:p w:rsidR="006E1BDE" w:rsidRDefault="00244DD3">
      <w:r>
        <w:t>The Winter Package included among the other initiatives the proposal for the recast the Renewable Energy Directive</w:t>
      </w:r>
      <w:r>
        <w:rPr>
          <w:rStyle w:val="FootnoteReference"/>
        </w:rPr>
        <w:footnoteReference w:id="36"/>
      </w:r>
      <w:r>
        <w:t>. The recast of the Renewable Energy Directive (RED-II) has been drafted so as to enter into force on 1 January 2021. RED II wo</w:t>
      </w:r>
      <w:r>
        <w:t>uld discontinue the 10% renewable energy mandate of RED and the 6% life-cycle GHG emission reduction target of the Fuel Quality Directive (see section 4.2.3 above) as of 1 January 2021. Overall the RED II proposes a set of measures to achieve a 27% renewab</w:t>
      </w:r>
      <w:r>
        <w:t>le energy share in the sectors of electricity, heating and cooling, and transport by 2030. The 27% target was endorsed by the EU Council in October 2014 and is binding at the EU level.</w:t>
      </w:r>
    </w:p>
    <w:p w:rsidR="006E1BDE" w:rsidRDefault="00244DD3">
      <w:r>
        <w:t xml:space="preserve">RED-II amends the existing provisions relating to the transport sector </w:t>
      </w:r>
      <w:r>
        <w:t xml:space="preserve">in general and biofuels in particular (in addition to those electricity and heating and cooling). In difference to the RED, under RED-II Member States must require fuel suppliers to include a minimum share of energy from liquid and gaseous biofuels in the </w:t>
      </w:r>
      <w:r>
        <w:t xml:space="preserve">total amount of transport fuels. The proposal implements a trajectory increasing from 1.5% in 2021 up to at least 6.8% in 2030. The proposal considers 3 different types of biofuels in fulfilling the 6.8%, those from organic wastes and residues included in </w:t>
      </w:r>
      <w:r>
        <w:t>Annex IX part B but capped with a maximum of 1.7%, advanced biofuels from feedstocks included in Annex IX part A and renewable fuels and other alternative fuels as shown in Figure 1 below. The last two categories are not capped, but minimum shares. Accordi</w:t>
      </w:r>
      <w:r>
        <w:t xml:space="preserve">ng to the proposal, food-based biofuels cannot be counted toward the mandate, and their role in achieving the 27% renewable energy target should decline over time; from 7% in 2021 to 3.8% in 2030. </w:t>
      </w:r>
    </w:p>
    <w:p w:rsidR="006E1BDE" w:rsidRDefault="00244DD3">
      <w:pPr>
        <w:pStyle w:val="Caption"/>
        <w:rPr>
          <w:szCs w:val="22"/>
        </w:rPr>
      </w:pPr>
      <w:r>
        <w:rPr>
          <w:szCs w:val="22"/>
        </w:rPr>
        <w:t>Figure 1: RED II proposed structure of caps and minimum sh</w:t>
      </w:r>
      <w:r>
        <w:rPr>
          <w:szCs w:val="22"/>
        </w:rPr>
        <w:t>ares for the various fuels</w:t>
      </w:r>
      <w:r>
        <w:rPr>
          <w:szCs w:val="22"/>
          <w:vertAlign w:val="superscript"/>
        </w:rPr>
        <w:footnoteReference w:id="37"/>
      </w:r>
    </w:p>
    <w:p w:rsidR="006E1BDE" w:rsidRDefault="00244DD3">
      <w:r>
        <w:rPr>
          <w:noProof/>
          <w:lang w:eastAsia="en-GB"/>
        </w:rPr>
        <w:drawing>
          <wp:inline distT="0" distB="0" distL="0" distR="0">
            <wp:extent cx="5202000" cy="3402000"/>
            <wp:effectExtent l="0" t="0" r="0" b="8255"/>
            <wp:docPr id="3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4" descr="image00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02000" cy="3402000"/>
                    </a:xfrm>
                    <a:prstGeom prst="rect">
                      <a:avLst/>
                    </a:prstGeom>
                    <a:noFill/>
                    <a:ln>
                      <a:noFill/>
                    </a:ln>
                    <a:extLst/>
                  </pic:spPr>
                </pic:pic>
              </a:graphicData>
            </a:graphic>
          </wp:inline>
        </w:drawing>
      </w:r>
    </w:p>
    <w:p w:rsidR="006E1BDE" w:rsidRDefault="00244DD3">
      <w:r>
        <w:t>RED-II would extend the sustainability criteria of the RED and put forward additional criteria for biofuels produced from biomass originating from forest biomass. Advanced biofuels and renewable fuels must demonstrate proof of</w:t>
      </w:r>
      <w:r>
        <w:t xml:space="preserve"> compliance with the RED-II sustainability criteria.  </w:t>
      </w:r>
      <w:r>
        <w:rPr>
          <w:rFonts w:cs="Gotham-Book"/>
          <w:color w:val="000000"/>
        </w:rPr>
        <w:t>Table 1 below provides a comparison of the RED 2020 renewable energy framework and the EC’s proposal for the RED-II 2030 framework.</w:t>
      </w:r>
      <w:r>
        <w:rPr>
          <w:rStyle w:val="FootnoteReference"/>
          <w:rFonts w:cs="Gotham-Book"/>
          <w:color w:val="000000"/>
        </w:rPr>
        <w:footnoteReference w:id="38"/>
      </w:r>
    </w:p>
    <w:p w:rsidR="006E1BDE" w:rsidRDefault="00244DD3">
      <w:pPr>
        <w:rPr>
          <w:b/>
          <w:bCs/>
          <w:color w:val="166CED" w:themeColor="accent1"/>
          <w:szCs w:val="22"/>
        </w:rPr>
      </w:pPr>
      <w:r>
        <w:rPr>
          <w:b/>
          <w:bCs/>
          <w:color w:val="166CED" w:themeColor="accent1"/>
          <w:szCs w:val="22"/>
        </w:rPr>
        <w:t>Table 1: Comparison of the targets of RED and RED-II</w:t>
      </w:r>
    </w:p>
    <w:tbl>
      <w:tblPr>
        <w:tblStyle w:val="GridTable5Dark-Accent11"/>
        <w:tblW w:w="0" w:type="auto"/>
        <w:tblLook w:val="04A0" w:firstRow="1" w:lastRow="0" w:firstColumn="1" w:lastColumn="0" w:noHBand="0" w:noVBand="1"/>
      </w:tblPr>
      <w:tblGrid>
        <w:gridCol w:w="1349"/>
        <w:gridCol w:w="2888"/>
        <w:gridCol w:w="406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6E1BDE" w:rsidRDefault="006E1BDE">
            <w:pPr>
              <w:rPr>
                <w:rFonts w:cs="Gotham-Book"/>
                <w:color w:val="000000"/>
              </w:rPr>
            </w:pPr>
          </w:p>
        </w:tc>
        <w:tc>
          <w:tcPr>
            <w:tcW w:w="0" w:type="auto"/>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cs="Gotham-Book"/>
                <w:color w:val="000000"/>
              </w:rPr>
            </w:pPr>
            <w:r>
              <w:rPr>
                <w:rFonts w:cs="Times New Roman"/>
              </w:rPr>
              <w:t>2020 targets (R</w:t>
            </w:r>
            <w:r>
              <w:rPr>
                <w:rFonts w:cs="Times New Roman"/>
              </w:rPr>
              <w:t>ED)</w:t>
            </w:r>
          </w:p>
        </w:tc>
        <w:tc>
          <w:tcPr>
            <w:tcW w:w="0" w:type="auto"/>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cs="Gotham-Book"/>
                <w:b w:val="0"/>
                <w:bCs w:val="0"/>
                <w:color w:val="000000"/>
              </w:rPr>
            </w:pPr>
            <w:r>
              <w:rPr>
                <w:rFonts w:cs="Times New Roman"/>
              </w:rPr>
              <w:t>2030 proposed targets (RED-II)</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Gotham-Book"/>
                <w:b w:val="0"/>
                <w:bCs w:val="0"/>
                <w:color w:val="000000"/>
              </w:rPr>
            </w:pPr>
            <w:r>
              <w:rPr>
                <w:rFonts w:cs="Times New Roman"/>
              </w:rPr>
              <w:t>Type of target</w:t>
            </w:r>
          </w:p>
        </w:tc>
        <w:tc>
          <w:tcPr>
            <w:tcW w:w="0" w:type="auto"/>
          </w:tcPr>
          <w:p w:rsidR="006E1BDE" w:rsidRDefault="00244DD3">
            <w:pPr>
              <w:numPr>
                <w:ilvl w:val="0"/>
                <w:numId w:val="0"/>
              </w:numPr>
              <w:jc w:val="left"/>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 xml:space="preserve">Renewable energy mandate for member states </w:t>
            </w:r>
          </w:p>
          <w:p w:rsidR="006E1BDE" w:rsidRDefault="00244DD3">
            <w:pPr>
              <w:numPr>
                <w:ilvl w:val="0"/>
                <w:numId w:val="0"/>
              </w:numPr>
              <w:jc w:val="left"/>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Life-cycle GHG emission reduction target for fuel suppliers (FQD)</w:t>
            </w:r>
          </w:p>
        </w:tc>
        <w:tc>
          <w:tcPr>
            <w:tcW w:w="0" w:type="auto"/>
          </w:tcPr>
          <w:p w:rsidR="006E1BDE" w:rsidRDefault="00244DD3">
            <w:pPr>
              <w:spacing w:after="200"/>
              <w:jc w:val="left"/>
              <w:cnfStyle w:val="000000100000" w:firstRow="0" w:lastRow="0" w:firstColumn="0" w:lastColumn="0" w:oddVBand="0" w:evenVBand="0" w:oddHBand="1" w:evenHBand="0" w:firstRowFirstColumn="0" w:firstRowLastColumn="0" w:lastRowFirstColumn="0" w:lastRowLastColumn="0"/>
              <w:rPr>
                <w:rFonts w:cs="Gotham-Book"/>
                <w:color w:val="000000"/>
              </w:rPr>
            </w:pPr>
            <w:r>
              <w:rPr>
                <w:rFonts w:cs="Gotham-Book"/>
                <w:color w:val="000000"/>
              </w:rPr>
              <w:t>Renewable energy mandate for fuel suppliers</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rPr>
                <w:rFonts w:cs="Gotham-Book"/>
                <w:bCs w:val="0"/>
                <w:color w:val="000000"/>
              </w:rPr>
            </w:pPr>
            <w:r>
              <w:rPr>
                <w:rFonts w:cs="Times New Roman"/>
                <w:bCs w:val="0"/>
              </w:rPr>
              <w:t>Target level</w:t>
            </w:r>
          </w:p>
        </w:tc>
        <w:tc>
          <w:tcPr>
            <w:tcW w:w="0" w:type="auto"/>
          </w:tcPr>
          <w:p w:rsidR="006E1BDE" w:rsidRDefault="00244DD3">
            <w:pPr>
              <w:keepNext/>
              <w:spacing w:after="200"/>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10% renewable energy blending:</w:t>
            </w:r>
          </w:p>
          <w:p w:rsidR="006E1BDE" w:rsidRDefault="00244DD3">
            <w:pPr>
              <w:keepNext/>
              <w:spacing w:after="200"/>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Non-binding 0.5% advanced biofuels target</w:t>
            </w:r>
          </w:p>
          <w:p w:rsidR="006E1BDE" w:rsidRDefault="00244DD3">
            <w:pPr>
              <w:keepNext/>
              <w:spacing w:after="200"/>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7% cap on food-based biofuels</w:t>
            </w:r>
          </w:p>
          <w:p w:rsidR="006E1BDE" w:rsidRDefault="00244DD3">
            <w:pPr>
              <w:keepNext/>
              <w:spacing w:after="200"/>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6% GHG reduction compared to 2010 (FQD)</w:t>
            </w:r>
          </w:p>
        </w:tc>
        <w:tc>
          <w:tcPr>
            <w:tcW w:w="0" w:type="auto"/>
          </w:tcPr>
          <w:p w:rsidR="006E1BDE" w:rsidRDefault="00244DD3">
            <w:pPr>
              <w:keepNext/>
              <w:spacing w:after="200"/>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 xml:space="preserve"> 6.8% advanced alternative fuel blending:</w:t>
            </w:r>
          </w:p>
          <w:p w:rsidR="006E1BDE" w:rsidRDefault="00244DD3">
            <w:pPr>
              <w:pStyle w:val="ListParagraph"/>
              <w:keepNext/>
              <w:numPr>
                <w:ilvl w:val="0"/>
                <w:numId w:val="10"/>
              </w:numPr>
              <w:tabs>
                <w:tab w:val="clear" w:pos="567"/>
              </w:tab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3.6% feedstocks in Annex IX, Part A</w:t>
            </w:r>
          </w:p>
          <w:p w:rsidR="006E1BDE" w:rsidRDefault="00244DD3">
            <w:pPr>
              <w:pStyle w:val="ListParagraph"/>
              <w:keepNext/>
              <w:numPr>
                <w:ilvl w:val="0"/>
                <w:numId w:val="10"/>
              </w:numPr>
              <w:tabs>
                <w:tab w:val="clear" w:pos="567"/>
              </w:tab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1.7% cap on Annex IX, Part B, feedstocks</w:t>
            </w:r>
          </w:p>
          <w:p w:rsidR="006E1BDE" w:rsidRDefault="00244DD3">
            <w:pPr>
              <w:pStyle w:val="ListParagraph"/>
              <w:keepNext/>
              <w:numPr>
                <w:ilvl w:val="0"/>
                <w:numId w:val="10"/>
              </w:numPr>
              <w:tabs>
                <w:tab w:val="clear" w:pos="567"/>
              </w:tabs>
              <w:spacing w:before="0" w:after="0" w:line="240" w:lineRule="auto"/>
              <w:jc w:val="left"/>
              <w:cnfStyle w:val="000000000000" w:firstRow="0" w:lastRow="0" w:firstColumn="0" w:lastColumn="0" w:oddVBand="0" w:evenVBand="0" w:oddHBand="0" w:evenHBand="0" w:firstRowFirstColumn="0" w:firstRowLastColumn="0" w:lastRowFirstColumn="0" w:lastRowLastColumn="0"/>
              <w:rPr>
                <w:rFonts w:cs="Gotham-Book"/>
                <w:color w:val="000000"/>
              </w:rPr>
            </w:pPr>
            <w:r>
              <w:rPr>
                <w:rFonts w:cs="Gotham-Book"/>
                <w:color w:val="000000"/>
              </w:rPr>
              <w:t xml:space="preserve">1.5 of alternative and </w:t>
            </w:r>
            <w:r>
              <w:rPr>
                <w:rFonts w:cs="Gotham-Book"/>
                <w:color w:val="000000"/>
              </w:rPr>
              <w:t>renewable fuels</w:t>
            </w:r>
          </w:p>
          <w:p w:rsidR="006E1BDE" w:rsidRDefault="006E1BDE">
            <w:pPr>
              <w:keepNext/>
              <w:cnfStyle w:val="000000000000" w:firstRow="0" w:lastRow="0" w:firstColumn="0" w:lastColumn="0" w:oddVBand="0" w:evenVBand="0" w:oddHBand="0" w:evenHBand="0" w:firstRowFirstColumn="0" w:firstRowLastColumn="0" w:lastRowFirstColumn="0" w:lastRowLastColumn="0"/>
              <w:rPr>
                <w:rFonts w:cs="Gotham-Book"/>
                <w:color w:val="000000"/>
              </w:rPr>
            </w:pP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Gotham-Book"/>
                <w:bCs w:val="0"/>
                <w:color w:val="000000"/>
              </w:rPr>
            </w:pPr>
            <w:r>
              <w:rPr>
                <w:rFonts w:cs="Times New Roman"/>
                <w:bCs w:val="0"/>
              </w:rPr>
              <w:t>Eligible feedstocks</w:t>
            </w:r>
          </w:p>
        </w:tc>
        <w:tc>
          <w:tcPr>
            <w:tcW w:w="0" w:type="auto"/>
            <w:vAlign w:val="center"/>
          </w:tcPr>
          <w:p w:rsidR="006E1BDE" w:rsidRDefault="00244DD3">
            <w:pPr>
              <w:spacing w:after="200"/>
              <w:jc w:val="left"/>
              <w:cnfStyle w:val="000000100000" w:firstRow="0" w:lastRow="0" w:firstColumn="0" w:lastColumn="0" w:oddVBand="0" w:evenVBand="0" w:oddHBand="1" w:evenHBand="0" w:firstRowFirstColumn="0" w:firstRowLastColumn="0" w:lastRowFirstColumn="0" w:lastRowLastColumn="0"/>
              <w:rPr>
                <w:rFonts w:cs="Gotham-Book"/>
                <w:color w:val="000000"/>
              </w:rPr>
            </w:pPr>
            <w:r>
              <w:rPr>
                <w:rFonts w:cs="Gotham-Book"/>
                <w:color w:val="000000"/>
              </w:rPr>
              <w:t>Food-based biofuels, advanced biofuels, renewable liquid and gaseous transport fuels of biological origin, and renewable electricity</w:t>
            </w:r>
          </w:p>
        </w:tc>
        <w:tc>
          <w:tcPr>
            <w:tcW w:w="0" w:type="auto"/>
          </w:tcPr>
          <w:p w:rsidR="006E1BDE" w:rsidRDefault="00244DD3">
            <w:pPr>
              <w:spacing w:after="200"/>
              <w:cnfStyle w:val="000000100000" w:firstRow="0" w:lastRow="0" w:firstColumn="0" w:lastColumn="0" w:oddVBand="0" w:evenVBand="0" w:oddHBand="1" w:evenHBand="0" w:firstRowFirstColumn="0" w:firstRowLastColumn="0" w:lastRowFirstColumn="0" w:lastRowLastColumn="0"/>
              <w:rPr>
                <w:rFonts w:cs="Gotham-Book"/>
                <w:color w:val="000000"/>
              </w:rPr>
            </w:pPr>
            <w:r>
              <w:rPr>
                <w:rFonts w:cs="Gotham-Book"/>
                <w:color w:val="000000"/>
              </w:rPr>
              <w:t>Advanced biofuels, renewable liquid and gaseous transport fuels of non-biological ori</w:t>
            </w:r>
            <w:r>
              <w:rPr>
                <w:rFonts w:cs="Gotham-Book"/>
                <w:color w:val="000000"/>
              </w:rPr>
              <w:t>gin, waste-based fossil fuels, and renewable electricity; food-based biofuels are excluded</w:t>
            </w:r>
          </w:p>
        </w:tc>
      </w:tr>
    </w:tbl>
    <w:p w:rsidR="006E1BDE" w:rsidRDefault="006E1BDE">
      <w:pPr>
        <w:rPr>
          <w:rFonts w:ascii="Gotham-Book" w:hAnsi="Gotham-Book" w:cs="Gotham-Book"/>
          <w:color w:val="000000"/>
          <w:sz w:val="18"/>
          <w:szCs w:val="18"/>
        </w:rPr>
      </w:pPr>
    </w:p>
    <w:p w:rsidR="006E1BDE" w:rsidRDefault="00244DD3">
      <w:r>
        <w:t xml:space="preserve">The Commission’s proposal has been read by the European Parliament which voted on 17 January 2018 and the Council of Ministers has also expressed its opinion. The </w:t>
      </w:r>
      <w:r>
        <w:t>trilogue between the 3 institutions of the European Union has started and intense discussions have already been taking place at the time of writing this study. In case the EU Council does not approve the Parliament position, the proposal would enter a seco</w:t>
      </w:r>
      <w:r>
        <w:t>nd reading, in which the Parliament would have 3 months to produce revisions on the EU Council’s position. It is expected that an agreed position will be reached by July 2018 between the European Parliament and the Council of Ministers however, this is not</w:t>
      </w:r>
      <w:r>
        <w:t xml:space="preserve"> certain. Table 2 below compares the key differences of the positions of the European Parliament and the Council of Ministers on the Commission’s proposal at the start of the trilogue.</w:t>
      </w:r>
    </w:p>
    <w:p w:rsidR="006E1BDE" w:rsidRDefault="00244DD3">
      <w:pPr>
        <w:rPr>
          <w:b/>
          <w:bCs/>
          <w:color w:val="166CED" w:themeColor="accent1"/>
          <w:szCs w:val="22"/>
        </w:rPr>
      </w:pPr>
      <w:r>
        <w:rPr>
          <w:b/>
          <w:bCs/>
          <w:color w:val="166CED" w:themeColor="accent1"/>
          <w:szCs w:val="22"/>
        </w:rPr>
        <w:t>Table 2</w:t>
      </w:r>
      <w:r>
        <w:rPr>
          <w:b/>
          <w:bCs/>
          <w:color w:val="166CED" w:themeColor="accent1"/>
          <w:szCs w:val="22"/>
          <w:vertAlign w:val="superscript"/>
        </w:rPr>
        <w:footnoteReference w:id="39"/>
      </w:r>
      <w:r>
        <w:rPr>
          <w:b/>
          <w:bCs/>
          <w:color w:val="166CED" w:themeColor="accent1"/>
          <w:szCs w:val="22"/>
        </w:rPr>
        <w:t xml:space="preserve">: Comparison of the institutions on advanced biofuels (Annex </w:t>
      </w:r>
      <w:r>
        <w:rPr>
          <w:b/>
          <w:bCs/>
          <w:color w:val="166CED" w:themeColor="accent1"/>
          <w:szCs w:val="22"/>
        </w:rPr>
        <w:t>IXA) and Annex IXB</w:t>
      </w:r>
    </w:p>
    <w:tbl>
      <w:tblPr>
        <w:tblStyle w:val="GridTable4-Accent11"/>
        <w:tblW w:w="0" w:type="auto"/>
        <w:tblLook w:val="04A0" w:firstRow="1" w:lastRow="0" w:firstColumn="1" w:lastColumn="0" w:noHBand="0" w:noVBand="1"/>
      </w:tblPr>
      <w:tblGrid>
        <w:gridCol w:w="2916"/>
        <w:gridCol w:w="2597"/>
        <w:gridCol w:w="2784"/>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rsidR="006E1BDE" w:rsidRDefault="00244DD3">
            <w:pPr>
              <w:jc w:val="center"/>
            </w:pPr>
            <w:r>
              <w:t>European Commission</w:t>
            </w:r>
          </w:p>
        </w:tc>
        <w:tc>
          <w:tcPr>
            <w:tcW w:w="0" w:type="auto"/>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European Parliament</w:t>
            </w:r>
          </w:p>
        </w:tc>
        <w:tc>
          <w:tcPr>
            <w:tcW w:w="0" w:type="auto"/>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Council of Ministers</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vAlign w:val="center"/>
          </w:tcPr>
          <w:p w:rsidR="006E1BDE" w:rsidRDefault="00244DD3">
            <w:pPr>
              <w:jc w:val="center"/>
            </w:pPr>
            <w:r>
              <w:t>Sub target</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tcPr>
          <w:p w:rsidR="006E1BDE" w:rsidRDefault="00244DD3">
            <w:pPr>
              <w:rPr>
                <w:b w:val="0"/>
              </w:rPr>
            </w:pPr>
            <w:r>
              <w:rPr>
                <w:b w:val="0"/>
              </w:rPr>
              <w:t>3.6% sub-target with detailed trajectory.</w:t>
            </w:r>
          </w:p>
        </w:tc>
        <w:tc>
          <w:tcPr>
            <w:tcW w:w="0" w:type="auto"/>
          </w:tcPr>
          <w:p w:rsidR="006E1BDE" w:rsidRDefault="00244DD3">
            <w:pPr>
              <w:cnfStyle w:val="000000000000" w:firstRow="0" w:lastRow="0" w:firstColumn="0" w:lastColumn="0" w:oddVBand="0" w:evenVBand="0" w:oddHBand="0" w:evenHBand="0" w:firstRowFirstColumn="0" w:firstRowLastColumn="0" w:lastRowFirstColumn="0" w:lastRowLastColumn="0"/>
            </w:pPr>
            <w:r>
              <w:t>3.6% sub-target with detailed trajectory.</w:t>
            </w:r>
          </w:p>
        </w:tc>
        <w:tc>
          <w:tcPr>
            <w:tcW w:w="0" w:type="auto"/>
          </w:tcPr>
          <w:p w:rsidR="006E1BDE" w:rsidRDefault="00244DD3">
            <w:pPr>
              <w:cnfStyle w:val="000000000000" w:firstRow="0" w:lastRow="0" w:firstColumn="0" w:lastColumn="0" w:oddVBand="0" w:evenVBand="0" w:oddHBand="0" w:evenHBand="0" w:firstRowFirstColumn="0" w:firstRowLastColumn="0" w:lastRowFirstColumn="0" w:lastRowLastColumn="0"/>
            </w:pPr>
            <w:r>
              <w:t>3.0% target and milestone of 1% in 2025 with indicative trajectory.</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6E1BDE" w:rsidRDefault="00244DD3">
            <w:pPr>
              <w:keepNext/>
              <w:jc w:val="center"/>
            </w:pPr>
            <w:r>
              <w:t>Definition</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tcPr>
          <w:p w:rsidR="006E1BDE" w:rsidRDefault="00244DD3">
            <w:pPr>
              <w:keepNext/>
              <w:rPr>
                <w:b w:val="0"/>
              </w:rPr>
            </w:pPr>
            <w:r>
              <w:rPr>
                <w:b w:val="0"/>
              </w:rPr>
              <w:t>Advanced biofuels defined based on positive list of feedstocks as in Annex IX Part A as in ILUC Directive.</w:t>
            </w:r>
          </w:p>
        </w:tc>
        <w:tc>
          <w:tcPr>
            <w:tcW w:w="0" w:type="auto"/>
          </w:tcPr>
          <w:p w:rsidR="006E1BDE" w:rsidRDefault="00244DD3">
            <w:pPr>
              <w:keepNext/>
              <w:cnfStyle w:val="000000000000" w:firstRow="0" w:lastRow="0" w:firstColumn="0" w:lastColumn="0" w:oddVBand="0" w:evenVBand="0" w:oddHBand="0" w:evenHBand="0" w:firstRowFirstColumn="0" w:firstRowLastColumn="0" w:lastRowFirstColumn="0" w:lastRowLastColumn="0"/>
            </w:pPr>
            <w:r>
              <w:t>Broader definition than COM proposal.</w:t>
            </w:r>
          </w:p>
          <w:p w:rsidR="006E1BDE" w:rsidRDefault="00244DD3">
            <w:pPr>
              <w:keepNext/>
              <w:cnfStyle w:val="000000000000" w:firstRow="0" w:lastRow="0" w:firstColumn="0" w:lastColumn="0" w:oddVBand="0" w:evenVBand="0" w:oddHBand="0" w:evenHBand="0" w:firstRowFirstColumn="0" w:firstRowLastColumn="0" w:lastRowFirstColumn="0" w:lastRowLastColumn="0"/>
            </w:pPr>
            <w:r>
              <w:t>Deletion of Municipal Waste from list of feedstocks.</w:t>
            </w:r>
          </w:p>
        </w:tc>
        <w:tc>
          <w:tcPr>
            <w:tcW w:w="0" w:type="auto"/>
          </w:tcPr>
          <w:p w:rsidR="006E1BDE" w:rsidRDefault="00244DD3">
            <w:pPr>
              <w:keepNext/>
              <w:cnfStyle w:val="000000000000" w:firstRow="0" w:lastRow="0" w:firstColumn="0" w:lastColumn="0" w:oddVBand="0" w:evenVBand="0" w:oddHBand="0" w:evenHBand="0" w:firstRowFirstColumn="0" w:firstRowLastColumn="0" w:lastRowFirstColumn="0" w:lastRowLastColumn="0"/>
            </w:pPr>
            <w:r>
              <w:t>Advanced biofuels defined based on positive list of feed</w:t>
            </w:r>
            <w:r>
              <w:t>stocks as in Annex IX Part A as in ILUC Directive.</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3"/>
          </w:tcPr>
          <w:p w:rsidR="006E1BDE" w:rsidRDefault="00244DD3">
            <w:pPr>
              <w:jc w:val="center"/>
            </w:pPr>
            <w:r>
              <w:t>Annex IX Part B</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tcPr>
          <w:p w:rsidR="006E1BDE" w:rsidRDefault="00244DD3">
            <w:pPr>
              <w:rPr>
                <w:b w:val="0"/>
              </w:rPr>
            </w:pPr>
            <w:r>
              <w:rPr>
                <w:b w:val="0"/>
              </w:rPr>
              <w:t>Contribution to obligation limited to 1.7%.</w:t>
            </w:r>
          </w:p>
        </w:tc>
        <w:tc>
          <w:tcPr>
            <w:tcW w:w="0" w:type="auto"/>
          </w:tcPr>
          <w:p w:rsidR="006E1BDE" w:rsidRDefault="00244DD3">
            <w:pPr>
              <w:cnfStyle w:val="000000000000" w:firstRow="0" w:lastRow="0" w:firstColumn="0" w:lastColumn="0" w:oddVBand="0" w:evenVBand="0" w:oddHBand="0" w:evenHBand="0" w:firstRowFirstColumn="0" w:firstRowLastColumn="0" w:lastRowFirstColumn="0" w:lastRowLastColumn="0"/>
            </w:pPr>
            <w:r>
              <w:t>Contribution to obligation limited to 1.7% but Member States may ask for derogation.</w:t>
            </w:r>
          </w:p>
        </w:tc>
        <w:tc>
          <w:tcPr>
            <w:tcW w:w="0" w:type="auto"/>
          </w:tcPr>
          <w:p w:rsidR="006E1BDE" w:rsidRDefault="00244DD3">
            <w:pPr>
              <w:cnfStyle w:val="000000000000" w:firstRow="0" w:lastRow="0" w:firstColumn="0" w:lastColumn="0" w:oddVBand="0" w:evenVBand="0" w:oddHBand="0" w:evenHBand="0" w:firstRowFirstColumn="0" w:firstRowLastColumn="0" w:lastRowFirstColumn="0" w:lastRowLastColumn="0"/>
            </w:pPr>
            <w:r>
              <w:t>No limit.</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shd w:val="clear" w:color="auto" w:fill="FFFFFF" w:themeFill="background2"/>
          </w:tcPr>
          <w:p w:rsidR="006E1BDE" w:rsidRDefault="00244DD3">
            <w:pPr>
              <w:rPr>
                <w:b w:val="0"/>
              </w:rPr>
            </w:pPr>
            <w:r>
              <w:rPr>
                <w:b w:val="0"/>
              </w:rPr>
              <w:t>Molasses included in Annex IX Part B.</w:t>
            </w:r>
          </w:p>
        </w:tc>
        <w:tc>
          <w:tcPr>
            <w:tcW w:w="0" w:type="auto"/>
            <w:shd w:val="clear" w:color="auto" w:fill="FFFFFF" w:themeFill="background2"/>
          </w:tcPr>
          <w:p w:rsidR="006E1BDE" w:rsidRDefault="00244DD3">
            <w:pPr>
              <w:cnfStyle w:val="000000100000" w:firstRow="0" w:lastRow="0" w:firstColumn="0" w:lastColumn="0" w:oddVBand="0" w:evenVBand="0" w:oddHBand="1" w:evenHBand="0" w:firstRowFirstColumn="0" w:firstRowLastColumn="0" w:lastRowFirstColumn="0" w:lastRowLastColumn="0"/>
              <w:rPr>
                <w:b/>
              </w:rPr>
            </w:pPr>
            <w:r>
              <w:t xml:space="preserve">Molasses </w:t>
            </w:r>
            <w:r>
              <w:t>deleted in Annex IX Part B.</w:t>
            </w:r>
          </w:p>
        </w:tc>
        <w:tc>
          <w:tcPr>
            <w:tcW w:w="0" w:type="auto"/>
            <w:shd w:val="clear" w:color="auto" w:fill="FFFFFF" w:themeFill="background2"/>
          </w:tcPr>
          <w:p w:rsidR="006E1BDE" w:rsidRDefault="00244DD3">
            <w:pPr>
              <w:cnfStyle w:val="000000100000" w:firstRow="0" w:lastRow="0" w:firstColumn="0" w:lastColumn="0" w:oddVBand="0" w:evenVBand="0" w:oddHBand="1" w:evenHBand="0" w:firstRowFirstColumn="0" w:firstRowLastColumn="0" w:lastRowFirstColumn="0" w:lastRowLastColumn="0"/>
              <w:rPr>
                <w:b/>
              </w:rPr>
            </w:pPr>
            <w:r>
              <w:t>Molasses deleted in Annex IX Part B.</w:t>
            </w:r>
          </w:p>
        </w:tc>
      </w:tr>
    </w:tbl>
    <w:p w:rsidR="006E1BDE" w:rsidRDefault="00244DD3">
      <w:pPr>
        <w:pStyle w:val="Heading2"/>
        <w:ind w:left="720" w:hanging="720"/>
      </w:pPr>
      <w:bookmarkStart w:id="12" w:name="_Toc516598329"/>
      <w:r>
        <w:t>Overview of Indian policies and legislation</w:t>
      </w:r>
      <w:bookmarkEnd w:id="12"/>
    </w:p>
    <w:p w:rsidR="006E1BDE" w:rsidRDefault="00244DD3">
      <w:pPr>
        <w:spacing w:after="0"/>
        <w:rPr>
          <w:rFonts w:eastAsia="Times New Roman"/>
          <w:color w:val="222222"/>
          <w:szCs w:val="22"/>
          <w:shd w:val="clear" w:color="auto" w:fill="FFFFFF"/>
        </w:rPr>
      </w:pPr>
      <w:r>
        <w:rPr>
          <w:rFonts w:eastAsia="Times New Roman"/>
          <w:color w:val="222222"/>
          <w:szCs w:val="22"/>
          <w:shd w:val="clear" w:color="auto" w:fill="FFFFFF"/>
        </w:rPr>
        <w:t>This section aims to trace India’s experience with biofuels and how it found place in its laws and policy. It delves into what were the main drivi</w:t>
      </w:r>
      <w:r>
        <w:rPr>
          <w:rFonts w:eastAsia="Times New Roman"/>
          <w:color w:val="222222"/>
          <w:szCs w:val="22"/>
          <w:shd w:val="clear" w:color="auto" w:fill="FFFFFF"/>
        </w:rPr>
        <w:t>ng factors behind the formulation of a comprehensive policy on biofuels as it stands today, the fundamental aspects of the policy as well as India’s general approach to biofuels.</w:t>
      </w:r>
    </w:p>
    <w:p w:rsidR="006E1BDE" w:rsidRDefault="00244DD3">
      <w:pPr>
        <w:pStyle w:val="Heading3"/>
        <w:rPr>
          <w:shd w:val="clear" w:color="auto" w:fill="FFFFFF"/>
        </w:rPr>
      </w:pPr>
      <w:bookmarkStart w:id="13" w:name="_Toc516598330"/>
      <w:r>
        <w:rPr>
          <w:shd w:val="clear" w:color="auto" w:fill="FFFFFF"/>
        </w:rPr>
        <w:t>The Power Alcohol Act, 1948</w:t>
      </w:r>
      <w:bookmarkEnd w:id="13"/>
    </w:p>
    <w:p w:rsidR="006E1BDE" w:rsidRDefault="00244DD3">
      <w:pPr>
        <w:numPr>
          <w:ilvl w:val="0"/>
          <w:numId w:val="0"/>
        </w:numPr>
        <w:spacing w:after="0"/>
        <w:rPr>
          <w:rFonts w:eastAsia="Times New Roman"/>
          <w:color w:val="222222"/>
          <w:szCs w:val="22"/>
          <w:shd w:val="clear" w:color="auto" w:fill="FFFFFF"/>
        </w:rPr>
      </w:pPr>
      <w:r>
        <w:rPr>
          <w:rFonts w:eastAsia="Times New Roman"/>
          <w:color w:val="222222"/>
          <w:szCs w:val="22"/>
          <w:shd w:val="clear" w:color="auto" w:fill="FFFFFF"/>
        </w:rPr>
        <w:t xml:space="preserve">The Act came into force with the main objectives </w:t>
      </w:r>
      <w:r>
        <w:rPr>
          <w:rFonts w:eastAsia="Times New Roman"/>
          <w:color w:val="222222"/>
          <w:szCs w:val="22"/>
          <w:shd w:val="clear" w:color="auto" w:fill="FFFFFF"/>
        </w:rPr>
        <w:t>of developing the molasses based ethanol industry thereby cutting down wastage of molasses as well as reducing the dependence on petrol imports. The Act emphasized on the blending of petrol with power alcohol (molasses based ethanol). It stipulated that th</w:t>
      </w:r>
      <w:r>
        <w:rPr>
          <w:rFonts w:eastAsia="Times New Roman"/>
          <w:color w:val="222222"/>
          <w:szCs w:val="22"/>
          <w:shd w:val="clear" w:color="auto" w:fill="FFFFFF"/>
        </w:rPr>
        <w:t>e Central Government had the power to direct up to 25% blending of power alcohol with petrol for motor vehicles. The power alcohol to be used in such blends was to be specified by the Central Government.</w:t>
      </w:r>
      <w:r>
        <w:rPr>
          <w:rStyle w:val="FootnoteReference"/>
          <w:rFonts w:eastAsia="Times New Roman"/>
          <w:color w:val="222222"/>
          <w:szCs w:val="22"/>
          <w:shd w:val="clear" w:color="auto" w:fill="FFFFFF"/>
        </w:rPr>
        <w:footnoteReference w:id="40"/>
      </w:r>
    </w:p>
    <w:p w:rsidR="006E1BDE" w:rsidRDefault="00244DD3">
      <w:pPr>
        <w:spacing w:after="0"/>
        <w:rPr>
          <w:rFonts w:eastAsia="Times New Roman"/>
          <w:color w:val="222222"/>
          <w:szCs w:val="22"/>
          <w:shd w:val="clear" w:color="auto" w:fill="FFFFFF"/>
        </w:rPr>
      </w:pPr>
      <w:r>
        <w:rPr>
          <w:rFonts w:eastAsia="Times New Roman"/>
          <w:color w:val="222222"/>
          <w:szCs w:val="22"/>
          <w:shd w:val="clear" w:color="auto" w:fill="FFFFFF"/>
        </w:rPr>
        <w:t>The Act was however repealed in August 2000 on reco</w:t>
      </w:r>
      <w:r>
        <w:rPr>
          <w:rFonts w:eastAsia="Times New Roman"/>
          <w:color w:val="222222"/>
          <w:szCs w:val="22"/>
          <w:shd w:val="clear" w:color="auto" w:fill="FFFFFF"/>
        </w:rPr>
        <w:t xml:space="preserve">mmendation of the PC Jain Commission on the Review of the Administrative Laws, 1998 on account of it not being in use over the last several years preceding the Report. Furthermore, it was observed that the blending of petrol with ethanol would be possible </w:t>
      </w:r>
      <w:r>
        <w:rPr>
          <w:rFonts w:eastAsia="Times New Roman"/>
          <w:color w:val="222222"/>
          <w:szCs w:val="22"/>
          <w:shd w:val="clear" w:color="auto" w:fill="FFFFFF"/>
        </w:rPr>
        <w:t>without the support of an enactment through various other incentives such as fiscal incentives.</w:t>
      </w:r>
      <w:r>
        <w:rPr>
          <w:rStyle w:val="FootnoteReference"/>
          <w:rFonts w:eastAsia="Times New Roman"/>
          <w:color w:val="222222"/>
          <w:szCs w:val="22"/>
          <w:shd w:val="clear" w:color="auto" w:fill="FFFFFF"/>
        </w:rPr>
        <w:footnoteReference w:id="41"/>
      </w:r>
    </w:p>
    <w:p w:rsidR="006E1BDE" w:rsidRDefault="00244DD3">
      <w:pPr>
        <w:pStyle w:val="Heading3"/>
        <w:rPr>
          <w:shd w:val="clear" w:color="auto" w:fill="FFFFFF"/>
        </w:rPr>
      </w:pPr>
      <w:bookmarkStart w:id="14" w:name="_Toc516598331"/>
      <w:r>
        <w:rPr>
          <w:shd w:val="clear" w:color="auto" w:fill="FFFFFF"/>
        </w:rPr>
        <w:t>Auto Fuel Policy 2003</w:t>
      </w:r>
      <w:bookmarkEnd w:id="14"/>
    </w:p>
    <w:p w:rsidR="006E1BDE" w:rsidRDefault="00244DD3">
      <w:pPr>
        <w:spacing w:after="0"/>
        <w:rPr>
          <w:rFonts w:eastAsia="Times New Roman"/>
          <w:color w:val="222222"/>
          <w:szCs w:val="22"/>
          <w:u w:val="single"/>
          <w:shd w:val="clear" w:color="auto" w:fill="FFFFFF"/>
        </w:rPr>
      </w:pPr>
      <w:r>
        <w:rPr>
          <w:rFonts w:eastAsia="Times New Roman"/>
          <w:color w:val="222222"/>
          <w:szCs w:val="22"/>
          <w:shd w:val="clear" w:color="auto" w:fill="FFFFFF"/>
        </w:rPr>
        <w:t>The policy was brought into place with the main aim of adopting measures, which reduced emissions from in-use vehicles as well as provide</w:t>
      </w:r>
      <w:r>
        <w:rPr>
          <w:rFonts w:eastAsia="Times New Roman"/>
          <w:color w:val="222222"/>
          <w:szCs w:val="22"/>
          <w:shd w:val="clear" w:color="auto" w:fill="FFFFFF"/>
        </w:rPr>
        <w:t>d an assured supply of auto fuels. The policy provided for changes in vehicular technology and thereby improving fuel quality in the entire country. Among other things the policy recommended drawing up financial and fiscal measures to encourage R&amp;D in tech</w:t>
      </w:r>
      <w:r>
        <w:rPr>
          <w:rFonts w:eastAsia="Times New Roman"/>
          <w:color w:val="222222"/>
          <w:szCs w:val="22"/>
          <w:shd w:val="clear" w:color="auto" w:fill="FFFFFF"/>
        </w:rPr>
        <w:t>nologies producing ethanol/bio fuels for use in vehicles.</w:t>
      </w:r>
      <w:r>
        <w:rPr>
          <w:rStyle w:val="FootnoteReference"/>
          <w:rFonts w:eastAsia="Times New Roman"/>
          <w:color w:val="222222"/>
          <w:szCs w:val="22"/>
          <w:shd w:val="clear" w:color="auto" w:fill="FFFFFF"/>
        </w:rPr>
        <w:footnoteReference w:id="42"/>
      </w:r>
    </w:p>
    <w:p w:rsidR="006E1BDE" w:rsidRDefault="00244DD3">
      <w:pPr>
        <w:pStyle w:val="Heading3"/>
        <w:rPr>
          <w:shd w:val="clear" w:color="auto" w:fill="FFFFFF"/>
        </w:rPr>
      </w:pPr>
      <w:bookmarkStart w:id="15" w:name="_Toc516598332"/>
      <w:r>
        <w:rPr>
          <w:shd w:val="clear" w:color="auto" w:fill="FFFFFF"/>
        </w:rPr>
        <w:t>Ethanol Blending Program</w:t>
      </w:r>
      <w:bookmarkEnd w:id="15"/>
    </w:p>
    <w:p w:rsidR="006E1BDE" w:rsidRDefault="00244DD3">
      <w:pPr>
        <w:numPr>
          <w:ilvl w:val="0"/>
          <w:numId w:val="0"/>
        </w:numPr>
        <w:spacing w:after="0"/>
        <w:rPr>
          <w:rFonts w:eastAsia="Times New Roman"/>
          <w:color w:val="222222"/>
          <w:szCs w:val="22"/>
          <w:shd w:val="clear" w:color="auto" w:fill="FFFFFF"/>
        </w:rPr>
      </w:pPr>
      <w:r>
        <w:rPr>
          <w:rFonts w:eastAsia="Times New Roman"/>
          <w:color w:val="222222"/>
          <w:szCs w:val="22"/>
          <w:shd w:val="clear" w:color="auto" w:fill="FFFFFF"/>
        </w:rPr>
        <w:t xml:space="preserve">In September 2002, the Ministry of Petroleum and Natural Gas launched The Ethanol Blending Programme. The programme mandated a 5% blending of ethanol in nine States and </w:t>
      </w:r>
      <w:r>
        <w:rPr>
          <w:rFonts w:eastAsia="Times New Roman"/>
          <w:color w:val="222222"/>
          <w:szCs w:val="22"/>
          <w:shd w:val="clear" w:color="auto" w:fill="FFFFFF"/>
        </w:rPr>
        <w:t>four Union Territories with effect from 1</w:t>
      </w:r>
      <w:r>
        <w:rPr>
          <w:rFonts w:eastAsia="Times New Roman"/>
          <w:color w:val="222222"/>
          <w:szCs w:val="22"/>
          <w:shd w:val="clear" w:color="auto" w:fill="FFFFFF"/>
          <w:vertAlign w:val="superscript"/>
        </w:rPr>
        <w:t>st</w:t>
      </w:r>
      <w:r>
        <w:rPr>
          <w:rFonts w:eastAsia="Times New Roman"/>
          <w:color w:val="222222"/>
          <w:szCs w:val="22"/>
          <w:shd w:val="clear" w:color="auto" w:fill="FFFFFF"/>
        </w:rPr>
        <w:t xml:space="preserve"> January 2003.</w:t>
      </w:r>
      <w:r>
        <w:rPr>
          <w:rStyle w:val="FootnoteReference"/>
          <w:rFonts w:eastAsia="Times New Roman"/>
          <w:color w:val="222222"/>
          <w:szCs w:val="22"/>
          <w:shd w:val="clear" w:color="auto" w:fill="FFFFFF"/>
        </w:rPr>
        <w:footnoteReference w:id="43"/>
      </w:r>
      <w:r>
        <w:rPr>
          <w:rFonts w:eastAsia="Times New Roman"/>
          <w:color w:val="222222"/>
          <w:szCs w:val="22"/>
          <w:shd w:val="clear" w:color="auto" w:fill="FFFFFF"/>
        </w:rPr>
        <w:t xml:space="preserve"> Subsequently, the Planning Commission Report of the Committee on Development of Bio-Fuel was released in April 2003 which recommended among other things that while the decision to blend 5% ethanol with petrol in the major cities was a step in the right di</w:t>
      </w:r>
      <w:r>
        <w:rPr>
          <w:rFonts w:eastAsia="Times New Roman"/>
          <w:color w:val="222222"/>
          <w:szCs w:val="22"/>
          <w:shd w:val="clear" w:color="auto" w:fill="FFFFFF"/>
        </w:rPr>
        <w:t>rection, a phased out approach with a gradual increase in the ratio from 5% to 20% over a period of time, applicable to the rest of the country would help in strengthening the ethanol blending programme.</w:t>
      </w:r>
      <w:r>
        <w:rPr>
          <w:rStyle w:val="FootnoteReference"/>
          <w:rFonts w:eastAsia="Times New Roman"/>
          <w:color w:val="222222"/>
          <w:szCs w:val="22"/>
          <w:shd w:val="clear" w:color="auto" w:fill="FFFFFF"/>
        </w:rPr>
        <w:footnoteReference w:id="44"/>
      </w:r>
    </w:p>
    <w:p w:rsidR="006E1BDE" w:rsidRDefault="006E1BDE">
      <w:pPr>
        <w:numPr>
          <w:ilvl w:val="0"/>
          <w:numId w:val="0"/>
        </w:numPr>
        <w:spacing w:after="0"/>
        <w:rPr>
          <w:rFonts w:eastAsia="Times New Roman"/>
          <w:color w:val="222222"/>
          <w:szCs w:val="22"/>
          <w:shd w:val="clear" w:color="auto" w:fill="FFFFFF"/>
        </w:rPr>
      </w:pPr>
    </w:p>
    <w:p w:rsidR="006E1BDE" w:rsidRDefault="00244DD3">
      <w:pPr>
        <w:numPr>
          <w:ilvl w:val="0"/>
          <w:numId w:val="0"/>
        </w:numPr>
        <w:spacing w:after="0"/>
        <w:rPr>
          <w:rFonts w:eastAsia="Times New Roman"/>
          <w:color w:val="222222"/>
          <w:szCs w:val="22"/>
          <w:shd w:val="clear" w:color="auto" w:fill="FFFFFF"/>
        </w:rPr>
      </w:pPr>
      <w:r>
        <w:rPr>
          <w:rFonts w:eastAsia="Times New Roman"/>
          <w:color w:val="222222"/>
          <w:szCs w:val="22"/>
          <w:shd w:val="clear" w:color="auto" w:fill="FFFFFF"/>
        </w:rPr>
        <w:t xml:space="preserve">The 5% blending mandate could not be realized due </w:t>
      </w:r>
      <w:r>
        <w:rPr>
          <w:rFonts w:eastAsia="Times New Roman"/>
          <w:color w:val="222222"/>
          <w:szCs w:val="22"/>
          <w:shd w:val="clear" w:color="auto" w:fill="FFFFFF"/>
        </w:rPr>
        <w:t>to the shortage of bioethanol supply in 2003-2004 therefore the mandate was amended, requiring the blend only when adequate supplies of ethanol were available.</w:t>
      </w:r>
      <w:r>
        <w:rPr>
          <w:rStyle w:val="FootnoteReference"/>
          <w:rFonts w:eastAsia="Times New Roman"/>
          <w:color w:val="222222"/>
          <w:szCs w:val="22"/>
          <w:shd w:val="clear" w:color="auto" w:fill="FFFFFF"/>
        </w:rPr>
        <w:footnoteReference w:id="45"/>
      </w:r>
      <w:r>
        <w:rPr>
          <w:rFonts w:eastAsia="Times New Roman"/>
          <w:color w:val="222222"/>
          <w:szCs w:val="22"/>
          <w:shd w:val="clear" w:color="auto" w:fill="FFFFFF"/>
        </w:rPr>
        <w:t xml:space="preserve"> By October 2007, the 5% ethanol blending was made mandatory across the country, with the except</w:t>
      </w:r>
      <w:r>
        <w:rPr>
          <w:rFonts w:eastAsia="Times New Roman"/>
          <w:color w:val="222222"/>
          <w:szCs w:val="22"/>
          <w:shd w:val="clear" w:color="auto" w:fill="FFFFFF"/>
        </w:rPr>
        <w:t>ion of J&amp;K, the Northeast and Island Territories.</w:t>
      </w:r>
      <w:r>
        <w:rPr>
          <w:rStyle w:val="FootnoteReference"/>
          <w:rFonts w:eastAsia="Times New Roman"/>
          <w:color w:val="222222"/>
          <w:szCs w:val="22"/>
          <w:shd w:val="clear" w:color="auto" w:fill="FFFFFF"/>
        </w:rPr>
        <w:footnoteReference w:id="46"/>
      </w:r>
    </w:p>
    <w:p w:rsidR="006E1BDE" w:rsidRDefault="00244DD3">
      <w:pPr>
        <w:pStyle w:val="Heading3"/>
        <w:rPr>
          <w:shd w:val="clear" w:color="auto" w:fill="FFFFFF"/>
        </w:rPr>
      </w:pPr>
      <w:bookmarkStart w:id="16" w:name="_Toc516598333"/>
      <w:r>
        <w:rPr>
          <w:shd w:val="clear" w:color="auto" w:fill="FFFFFF"/>
        </w:rPr>
        <w:t>National Mission on Biodiesel</w:t>
      </w:r>
      <w:bookmarkEnd w:id="16"/>
    </w:p>
    <w:p w:rsidR="006E1BDE" w:rsidRDefault="00244DD3">
      <w:pPr>
        <w:numPr>
          <w:ilvl w:val="0"/>
          <w:numId w:val="0"/>
        </w:numPr>
        <w:spacing w:after="0"/>
        <w:rPr>
          <w:rFonts w:eastAsia="Times New Roman"/>
          <w:color w:val="222222"/>
          <w:szCs w:val="22"/>
          <w:shd w:val="clear" w:color="auto" w:fill="FFFFFF"/>
        </w:rPr>
      </w:pPr>
      <w:r>
        <w:rPr>
          <w:rFonts w:eastAsia="Times New Roman"/>
          <w:color w:val="222222"/>
          <w:szCs w:val="22"/>
          <w:shd w:val="clear" w:color="auto" w:fill="FFFFFF"/>
        </w:rPr>
        <w:t>The Planning Commission Report of the Committee on Development of Bio-Fuel also recommended the blending of biodiesel processed from the oil extracted from seeds of plants lik</w:t>
      </w:r>
      <w:r>
        <w:rPr>
          <w:rFonts w:eastAsia="Times New Roman"/>
          <w:color w:val="222222"/>
          <w:szCs w:val="22"/>
          <w:shd w:val="clear" w:color="auto" w:fill="FFFFFF"/>
        </w:rPr>
        <w:t>e Jatropha curcas with petroleum diesel. Developing this biodiesel could turn into a major poverty alleviation programme as well as provide energy security to the country. The report suggested the formulation of a National Mission on Biodiesel covering all</w:t>
      </w:r>
      <w:r>
        <w:rPr>
          <w:rFonts w:eastAsia="Times New Roman"/>
          <w:color w:val="222222"/>
          <w:szCs w:val="22"/>
          <w:shd w:val="clear" w:color="auto" w:fill="FFFFFF"/>
        </w:rPr>
        <w:t xml:space="preserve"> the aspects of plantation, procurement of seed, oil extraction, trans-esterification, blending and trade, and research and development. </w:t>
      </w:r>
    </w:p>
    <w:p w:rsidR="006E1BDE" w:rsidRDefault="00244DD3">
      <w:pPr>
        <w:pStyle w:val="Heading3"/>
        <w:rPr>
          <w:shd w:val="clear" w:color="auto" w:fill="FFFFFF"/>
        </w:rPr>
      </w:pPr>
      <w:bookmarkStart w:id="17" w:name="_Toc516598334"/>
      <w:r>
        <w:rPr>
          <w:shd w:val="clear" w:color="auto" w:fill="FFFFFF"/>
        </w:rPr>
        <w:t>National Biofuel Policy</w:t>
      </w:r>
      <w:bookmarkEnd w:id="17"/>
    </w:p>
    <w:p w:rsidR="006E1BDE" w:rsidRDefault="00244DD3">
      <w:pPr>
        <w:rPr>
          <w:rFonts w:eastAsia="Times New Roman"/>
          <w:color w:val="222222"/>
          <w:szCs w:val="22"/>
          <w:shd w:val="clear" w:color="auto" w:fill="FFFFFF"/>
        </w:rPr>
      </w:pPr>
      <w:r>
        <w:rPr>
          <w:rFonts w:eastAsia="Times New Roman"/>
          <w:color w:val="222222"/>
          <w:szCs w:val="22"/>
          <w:shd w:val="clear" w:color="auto" w:fill="FFFFFF"/>
        </w:rPr>
        <w:t>In December 2009 the government consolidated its policies on biofuels and released the Nationa</w:t>
      </w:r>
      <w:r>
        <w:rPr>
          <w:rFonts w:eastAsia="Times New Roman"/>
          <w:color w:val="222222"/>
          <w:szCs w:val="22"/>
          <w:shd w:val="clear" w:color="auto" w:fill="FFFFFF"/>
        </w:rPr>
        <w:t xml:space="preserve">l </w:t>
      </w:r>
      <w:r>
        <w:t>Biofuel</w:t>
      </w:r>
      <w:r>
        <w:rPr>
          <w:rFonts w:eastAsia="Times New Roman"/>
          <w:color w:val="222222"/>
          <w:szCs w:val="22"/>
          <w:shd w:val="clear" w:color="auto" w:fill="FFFFFF"/>
        </w:rPr>
        <w:t xml:space="preserve"> Policy, formulated by the Ministry of New and Renewable Energy (MNRE). The major goals of the policy as enumerated by the MNRE are</w:t>
      </w:r>
      <w:r>
        <w:rPr>
          <w:rStyle w:val="FootnoteReference"/>
          <w:rFonts w:eastAsia="Times New Roman"/>
          <w:color w:val="222222"/>
          <w:szCs w:val="22"/>
          <w:shd w:val="clear" w:color="auto" w:fill="FFFFFF"/>
        </w:rPr>
        <w:footnoteReference w:id="47"/>
      </w:r>
    </w:p>
    <w:p w:rsidR="006E1BDE" w:rsidRDefault="00244DD3">
      <w:pPr>
        <w:pStyle w:val="ListParagraph"/>
        <w:ind w:left="572" w:hanging="215"/>
        <w:rPr>
          <w:color w:val="222222"/>
          <w:szCs w:val="22"/>
          <w:shd w:val="clear" w:color="auto" w:fill="FFFFFF"/>
        </w:rPr>
      </w:pPr>
      <w:r>
        <w:t>Development</w:t>
      </w:r>
      <w:r>
        <w:rPr>
          <w:color w:val="222222"/>
          <w:szCs w:val="22"/>
          <w:shd w:val="clear" w:color="auto" w:fill="FFFFFF"/>
        </w:rPr>
        <w:t xml:space="preserve"> and utilization of indigenous non-food feed-stocks raised on degraded or waste lands</w:t>
      </w:r>
    </w:p>
    <w:p w:rsidR="006E1BDE" w:rsidRDefault="00244DD3">
      <w:pPr>
        <w:pStyle w:val="ListParagraph"/>
        <w:ind w:left="572" w:hanging="215"/>
        <w:rPr>
          <w:color w:val="222222"/>
          <w:szCs w:val="22"/>
          <w:shd w:val="clear" w:color="auto" w:fill="FFFFFF"/>
        </w:rPr>
      </w:pPr>
      <w:r>
        <w:rPr>
          <w:color w:val="222222"/>
          <w:szCs w:val="22"/>
          <w:shd w:val="clear" w:color="auto" w:fill="FFFFFF"/>
        </w:rPr>
        <w:t>Focus research an</w:t>
      </w:r>
      <w:r>
        <w:rPr>
          <w:color w:val="222222"/>
          <w:szCs w:val="22"/>
          <w:shd w:val="clear" w:color="auto" w:fill="FFFFFF"/>
        </w:rPr>
        <w:t>d development on cultivation, processing and production of biofuels</w:t>
      </w:r>
    </w:p>
    <w:p w:rsidR="006E1BDE" w:rsidRDefault="00244DD3">
      <w:pPr>
        <w:pStyle w:val="ListParagraph"/>
        <w:ind w:left="572" w:hanging="215"/>
        <w:rPr>
          <w:color w:val="222222"/>
          <w:szCs w:val="22"/>
          <w:shd w:val="clear" w:color="auto" w:fill="FFFFFF"/>
        </w:rPr>
      </w:pPr>
      <w:r>
        <w:rPr>
          <w:color w:val="222222"/>
          <w:szCs w:val="22"/>
          <w:shd w:val="clear" w:color="auto" w:fill="FFFFFF"/>
        </w:rPr>
        <w:t>To ensure a minimum level of biofuels which are readily available in the market. An indicative blending mandate of 20% for both bio-ethanol and Bio-diesel by 2017.</w:t>
      </w:r>
      <w:r>
        <w:rPr>
          <w:rStyle w:val="FootnoteReference"/>
          <w:color w:val="222222"/>
          <w:szCs w:val="22"/>
          <w:shd w:val="clear" w:color="auto" w:fill="FFFFFF"/>
        </w:rPr>
        <w:footnoteReference w:id="48"/>
      </w:r>
    </w:p>
    <w:p w:rsidR="006E1BDE" w:rsidRDefault="00244DD3">
      <w:pPr>
        <w:rPr>
          <w:color w:val="222222"/>
          <w:szCs w:val="22"/>
          <w:shd w:val="clear" w:color="auto" w:fill="FFFFFF"/>
        </w:rPr>
      </w:pPr>
      <w:r>
        <w:rPr>
          <w:color w:val="222222"/>
          <w:szCs w:val="22"/>
          <w:shd w:val="clear" w:color="auto" w:fill="FFFFFF"/>
        </w:rPr>
        <w:t>The policy sets forth a</w:t>
      </w:r>
      <w:r>
        <w:rPr>
          <w:color w:val="222222"/>
          <w:szCs w:val="22"/>
          <w:shd w:val="clear" w:color="auto" w:fill="FFFFFF"/>
        </w:rPr>
        <w:t xml:space="preserve"> framework of technological, financial and institutional interventions and </w:t>
      </w:r>
      <w:r>
        <w:t>enabling</w:t>
      </w:r>
      <w:r>
        <w:rPr>
          <w:color w:val="222222"/>
          <w:szCs w:val="22"/>
          <w:shd w:val="clear" w:color="auto" w:fill="FFFFFF"/>
        </w:rPr>
        <w:t xml:space="preserve"> mechanisms for the development of the next generation of more efficient biofuel conversion technologies based on new feedstocks.  The main features of the biofuel policy in</w:t>
      </w:r>
      <w:r>
        <w:rPr>
          <w:color w:val="222222"/>
          <w:szCs w:val="22"/>
          <w:shd w:val="clear" w:color="auto" w:fill="FFFFFF"/>
        </w:rPr>
        <w:t>clude:</w:t>
      </w:r>
      <w:r>
        <w:rPr>
          <w:rStyle w:val="FootnoteReference"/>
          <w:color w:val="222222"/>
          <w:szCs w:val="22"/>
          <w:shd w:val="clear" w:color="auto" w:fill="FFFFFF"/>
        </w:rPr>
        <w:footnoteReference w:id="49"/>
      </w:r>
    </w:p>
    <w:p w:rsidR="006E1BDE" w:rsidRDefault="00244DD3">
      <w:pPr>
        <w:pStyle w:val="ListParagraph"/>
        <w:ind w:left="572" w:hanging="215"/>
        <w:rPr>
          <w:color w:val="222222"/>
          <w:szCs w:val="22"/>
          <w:shd w:val="clear" w:color="auto" w:fill="FFFFFF"/>
        </w:rPr>
      </w:pPr>
      <w:r>
        <w:rPr>
          <w:color w:val="222222"/>
          <w:szCs w:val="22"/>
          <w:shd w:val="clear" w:color="auto" w:fill="FFFFFF"/>
        </w:rPr>
        <w:t>Recognition of biofuels as a means to providing energy security in India.</w:t>
      </w:r>
    </w:p>
    <w:p w:rsidR="006E1BDE" w:rsidRDefault="00244DD3">
      <w:pPr>
        <w:pStyle w:val="ListParagraph"/>
        <w:ind w:left="572" w:hanging="215"/>
        <w:rPr>
          <w:color w:val="222222"/>
          <w:szCs w:val="22"/>
          <w:shd w:val="clear" w:color="auto" w:fill="FFFFFF"/>
        </w:rPr>
      </w:pPr>
      <w:r>
        <w:rPr>
          <w:color w:val="222222"/>
          <w:szCs w:val="22"/>
          <w:shd w:val="clear" w:color="auto" w:fill="FFFFFF"/>
        </w:rPr>
        <w:t>The Policy recognizes biofuels as environmentally friendly fuels and therefore their use in the transportation sector would contribute towards the mitigation of air pollution</w:t>
      </w:r>
      <w:r>
        <w:rPr>
          <w:color w:val="222222"/>
          <w:szCs w:val="22"/>
          <w:shd w:val="clear" w:color="auto" w:fill="FFFFFF"/>
        </w:rPr>
        <w:t xml:space="preserve"> as well as address the global concerns of reduction of carbon emissions.</w:t>
      </w:r>
    </w:p>
    <w:p w:rsidR="006E1BDE" w:rsidRDefault="00244DD3">
      <w:pPr>
        <w:pStyle w:val="ListParagraph"/>
        <w:ind w:left="572" w:hanging="215"/>
        <w:rPr>
          <w:color w:val="222222"/>
          <w:szCs w:val="22"/>
          <w:shd w:val="clear" w:color="auto" w:fill="FFFFFF"/>
        </w:rPr>
      </w:pPr>
      <w:r>
        <w:rPr>
          <w:color w:val="222222"/>
          <w:szCs w:val="22"/>
          <w:shd w:val="clear" w:color="auto" w:fill="FFFFFF"/>
        </w:rPr>
        <w:t>The Indian approach to biofuels recognizes the possible food security issues therefore bases the production of biofuels solely from non-food feedstocks, raised on degraded or wastela</w:t>
      </w:r>
      <w:r>
        <w:rPr>
          <w:color w:val="222222"/>
          <w:szCs w:val="22"/>
          <w:shd w:val="clear" w:color="auto" w:fill="FFFFFF"/>
        </w:rPr>
        <w:t xml:space="preserve">nds that are not suited to agriculture. </w:t>
      </w:r>
    </w:p>
    <w:p w:rsidR="006E1BDE" w:rsidRDefault="00244DD3">
      <w:pPr>
        <w:pStyle w:val="ListParagraph"/>
        <w:ind w:left="572" w:hanging="215"/>
        <w:rPr>
          <w:color w:val="222222"/>
          <w:szCs w:val="22"/>
          <w:shd w:val="clear" w:color="auto" w:fill="FFFFFF"/>
        </w:rPr>
      </w:pPr>
      <w:r>
        <w:rPr>
          <w:color w:val="222222"/>
          <w:szCs w:val="22"/>
          <w:shd w:val="clear" w:color="auto" w:fill="FFFFFF"/>
        </w:rPr>
        <w:t>The Cultivation and plantation of non-edible seed oil seeds used to produce bio-diesel would be supported by a Minimum support price.</w:t>
      </w:r>
    </w:p>
    <w:p w:rsidR="006E1BDE" w:rsidRDefault="00244DD3">
      <w:pPr>
        <w:pStyle w:val="ListParagraph"/>
        <w:ind w:left="572" w:hanging="215"/>
        <w:rPr>
          <w:color w:val="222222"/>
          <w:szCs w:val="22"/>
          <w:shd w:val="clear" w:color="auto" w:fill="FFFFFF"/>
        </w:rPr>
      </w:pPr>
      <w:r>
        <w:rPr>
          <w:color w:val="222222"/>
          <w:szCs w:val="22"/>
          <w:shd w:val="clear" w:color="auto" w:fill="FFFFFF"/>
        </w:rPr>
        <w:t xml:space="preserve">The responsibility of storage, distribution and marketing of biofuels would rest </w:t>
      </w:r>
      <w:r>
        <w:rPr>
          <w:color w:val="222222"/>
          <w:szCs w:val="22"/>
          <w:shd w:val="clear" w:color="auto" w:fill="FFFFFF"/>
        </w:rPr>
        <w:t>with the Oil Marketing Companies (OMCs).</w:t>
      </w:r>
    </w:p>
    <w:p w:rsidR="006E1BDE" w:rsidRDefault="00244DD3">
      <w:pPr>
        <w:pStyle w:val="ListParagraph"/>
        <w:ind w:left="572" w:hanging="215"/>
        <w:rPr>
          <w:color w:val="222222"/>
          <w:szCs w:val="22"/>
          <w:shd w:val="clear" w:color="auto" w:fill="FFFFFF"/>
        </w:rPr>
      </w:pPr>
      <w:r>
        <w:rPr>
          <w:color w:val="222222"/>
          <w:szCs w:val="22"/>
          <w:shd w:val="clear" w:color="auto" w:fill="FFFFFF"/>
        </w:rPr>
        <w:t>The policy also proposed the set-up of a National Biofuel Co-ordination Committee (NBCC)</w:t>
      </w:r>
      <w:r>
        <w:rPr>
          <w:rStyle w:val="FootnoteReference"/>
          <w:color w:val="222222"/>
          <w:szCs w:val="22"/>
          <w:shd w:val="clear" w:color="auto" w:fill="FFFFFF"/>
        </w:rPr>
        <w:footnoteReference w:id="50"/>
      </w:r>
      <w:r>
        <w:rPr>
          <w:color w:val="222222"/>
          <w:szCs w:val="22"/>
          <w:shd w:val="clear" w:color="auto" w:fill="FFFFFF"/>
        </w:rPr>
        <w:t xml:space="preserve"> and a Biofuel Steering Committee</w:t>
      </w:r>
      <w:r>
        <w:rPr>
          <w:rStyle w:val="FootnoteReference"/>
          <w:color w:val="222222"/>
          <w:szCs w:val="22"/>
          <w:shd w:val="clear" w:color="auto" w:fill="FFFFFF"/>
        </w:rPr>
        <w:footnoteReference w:id="51"/>
      </w:r>
      <w:r>
        <w:rPr>
          <w:color w:val="222222"/>
          <w:szCs w:val="22"/>
          <w:shd w:val="clear" w:color="auto" w:fill="FFFFFF"/>
        </w:rPr>
        <w:t xml:space="preserve"> which would coordinate between the multiple departments and agencies and provide an overall policy guidance on the different aspects of biofuel development.</w:t>
      </w:r>
    </w:p>
    <w:p w:rsidR="006E1BDE" w:rsidRDefault="00244DD3">
      <w:pPr>
        <w:pStyle w:val="ListParagraph"/>
        <w:ind w:left="572" w:hanging="215"/>
        <w:rPr>
          <w:color w:val="222222"/>
          <w:szCs w:val="22"/>
          <w:shd w:val="clear" w:color="auto" w:fill="FFFFFF"/>
        </w:rPr>
      </w:pPr>
      <w:r>
        <w:rPr>
          <w:color w:val="222222"/>
          <w:szCs w:val="22"/>
          <w:shd w:val="clear" w:color="auto" w:fill="FFFFFF"/>
        </w:rPr>
        <w:t>The Minimum Purchase Price (MPP) for bio-diesel by the OMCs will be linked to the prevailing retai</w:t>
      </w:r>
      <w:r>
        <w:rPr>
          <w:color w:val="222222"/>
          <w:szCs w:val="22"/>
          <w:shd w:val="clear" w:color="auto" w:fill="FFFFFF"/>
        </w:rPr>
        <w:t>l diesel price and the MPP for bio-ethanol will be based on the actual cost of production and the import price of bio-ethanol. The MPP for both bio-diesel and bio-ethanol would be determined by the Biofuel steering Committee and the NBCC.</w:t>
      </w:r>
    </w:p>
    <w:p w:rsidR="006E1BDE" w:rsidRDefault="00244DD3">
      <w:pPr>
        <w:pStyle w:val="ListParagraph"/>
        <w:ind w:left="572" w:hanging="215"/>
        <w:rPr>
          <w:color w:val="222222"/>
          <w:szCs w:val="22"/>
          <w:shd w:val="clear" w:color="auto" w:fill="FFFFFF"/>
        </w:rPr>
      </w:pPr>
      <w:r>
        <w:rPr>
          <w:color w:val="222222"/>
          <w:szCs w:val="22"/>
          <w:shd w:val="clear" w:color="auto" w:fill="FFFFFF"/>
        </w:rPr>
        <w:t>The policy also p</w:t>
      </w:r>
      <w:r>
        <w:rPr>
          <w:color w:val="222222"/>
          <w:szCs w:val="22"/>
          <w:shd w:val="clear" w:color="auto" w:fill="FFFFFF"/>
        </w:rPr>
        <w:t>aves way for international scientific and technical cooperation in the area of biofuel production, conversion and utilization.</w:t>
      </w:r>
    </w:p>
    <w:p w:rsidR="006E1BDE" w:rsidRDefault="00244DD3">
      <w:pPr>
        <w:pStyle w:val="ListParagraph"/>
        <w:ind w:left="572" w:hanging="215"/>
        <w:rPr>
          <w:color w:val="222222"/>
          <w:szCs w:val="22"/>
          <w:shd w:val="clear" w:color="auto" w:fill="FFFFFF"/>
        </w:rPr>
      </w:pPr>
      <w:r>
        <w:rPr>
          <w:color w:val="222222"/>
          <w:szCs w:val="22"/>
          <w:shd w:val="clear" w:color="auto" w:fill="FFFFFF"/>
        </w:rPr>
        <w:t>The Policy provides that, the Ministry of New and Renewable Energy is the nodal Ministry for carrying out the National Biofuel Pr</w:t>
      </w:r>
      <w:r>
        <w:rPr>
          <w:color w:val="222222"/>
          <w:szCs w:val="22"/>
          <w:shd w:val="clear" w:color="auto" w:fill="FFFFFF"/>
        </w:rPr>
        <w:t>ogramme.</w:t>
      </w:r>
    </w:p>
    <w:p w:rsidR="006E1BDE" w:rsidRDefault="00244DD3">
      <w:pPr>
        <w:rPr>
          <w:color w:val="222222"/>
          <w:szCs w:val="22"/>
          <w:shd w:val="clear" w:color="auto" w:fill="FFFFFF"/>
        </w:rPr>
      </w:pPr>
      <w:r>
        <w:rPr>
          <w:color w:val="222222"/>
          <w:szCs w:val="22"/>
          <w:shd w:val="clear" w:color="auto" w:fill="FFFFFF"/>
        </w:rPr>
        <w:t xml:space="preserve">The </w:t>
      </w:r>
      <w:r>
        <w:t>Policy</w:t>
      </w:r>
      <w:r>
        <w:rPr>
          <w:color w:val="222222"/>
          <w:szCs w:val="22"/>
          <w:shd w:val="clear" w:color="auto" w:fill="FFFFFF"/>
        </w:rPr>
        <w:t xml:space="preserve"> defines Biofuels as ‘liquid or gaseous fuels produced from biomass resources and used in place of, or in addition to, diesel, petrol or other fossil fuels for transport, stationery, portable and other applications’</w:t>
      </w:r>
      <w:r>
        <w:rPr>
          <w:rStyle w:val="FootnoteReference"/>
          <w:color w:val="222222"/>
          <w:szCs w:val="22"/>
          <w:shd w:val="clear" w:color="auto" w:fill="FFFFFF"/>
        </w:rPr>
        <w:footnoteReference w:id="52"/>
      </w:r>
      <w:r>
        <w:rPr>
          <w:color w:val="222222"/>
          <w:szCs w:val="22"/>
          <w:shd w:val="clear" w:color="auto" w:fill="FFFFFF"/>
        </w:rPr>
        <w:t xml:space="preserve">. It includes within </w:t>
      </w:r>
      <w:r>
        <w:rPr>
          <w:color w:val="222222"/>
          <w:szCs w:val="22"/>
          <w:shd w:val="clear" w:color="auto" w:fill="FFFFFF"/>
        </w:rPr>
        <w:t xml:space="preserve">its scope </w:t>
      </w:r>
    </w:p>
    <w:p w:rsidR="006E1BDE" w:rsidRDefault="00244DD3">
      <w:pPr>
        <w:numPr>
          <w:ilvl w:val="0"/>
          <w:numId w:val="7"/>
        </w:numPr>
        <w:tabs>
          <w:tab w:val="left" w:pos="709"/>
        </w:tabs>
        <w:spacing w:before="120"/>
        <w:rPr>
          <w:color w:val="222222"/>
          <w:szCs w:val="22"/>
          <w:shd w:val="clear" w:color="auto" w:fill="FFFFFF"/>
        </w:rPr>
      </w:pPr>
      <w:r>
        <w:rPr>
          <w:color w:val="222222"/>
          <w:szCs w:val="22"/>
          <w:shd w:val="clear" w:color="auto" w:fill="FFFFFF"/>
        </w:rPr>
        <w:t>Bio-</w:t>
      </w:r>
      <w:r>
        <w:rPr>
          <w:szCs w:val="22"/>
          <w:lang w:eastAsia="nl-BE"/>
        </w:rPr>
        <w:t>ethanol</w:t>
      </w:r>
      <w:r>
        <w:rPr>
          <w:color w:val="222222"/>
          <w:szCs w:val="22"/>
          <w:shd w:val="clear" w:color="auto" w:fill="FFFFFF"/>
        </w:rPr>
        <w:t xml:space="preserve">: ethanol produced from biomass such as </w:t>
      </w:r>
    </w:p>
    <w:p w:rsidR="006E1BDE" w:rsidRDefault="00244DD3">
      <w:pPr>
        <w:pStyle w:val="ListParagraph"/>
        <w:numPr>
          <w:ilvl w:val="1"/>
          <w:numId w:val="5"/>
        </w:numPr>
        <w:rPr>
          <w:color w:val="222222"/>
          <w:szCs w:val="22"/>
          <w:shd w:val="clear" w:color="auto" w:fill="FFFFFF"/>
        </w:rPr>
      </w:pPr>
      <w:r>
        <w:rPr>
          <w:color w:val="222222"/>
          <w:szCs w:val="22"/>
          <w:shd w:val="clear" w:color="auto" w:fill="FFFFFF"/>
        </w:rPr>
        <w:t>Sugar containing materials, like sugar cane, sugar beet, sweet sorghum, etc.,</w:t>
      </w:r>
    </w:p>
    <w:p w:rsidR="006E1BDE" w:rsidRDefault="00244DD3">
      <w:pPr>
        <w:pStyle w:val="ListParagraph"/>
        <w:numPr>
          <w:ilvl w:val="1"/>
          <w:numId w:val="5"/>
        </w:numPr>
        <w:rPr>
          <w:color w:val="222222"/>
          <w:szCs w:val="22"/>
          <w:shd w:val="clear" w:color="auto" w:fill="FFFFFF"/>
        </w:rPr>
      </w:pPr>
      <w:r>
        <w:rPr>
          <w:color w:val="222222"/>
          <w:szCs w:val="22"/>
          <w:shd w:val="clear" w:color="auto" w:fill="FFFFFF"/>
        </w:rPr>
        <w:t>Starch containing materials such as corn, cassava, algae etc.,</w:t>
      </w:r>
    </w:p>
    <w:p w:rsidR="006E1BDE" w:rsidRDefault="00244DD3">
      <w:pPr>
        <w:pStyle w:val="ListParagraph"/>
        <w:numPr>
          <w:ilvl w:val="1"/>
          <w:numId w:val="5"/>
        </w:numPr>
        <w:rPr>
          <w:color w:val="222222"/>
          <w:szCs w:val="22"/>
          <w:shd w:val="clear" w:color="auto" w:fill="FFFFFF"/>
        </w:rPr>
      </w:pPr>
      <w:r>
        <w:rPr>
          <w:color w:val="222222"/>
          <w:szCs w:val="22"/>
          <w:shd w:val="clear" w:color="auto" w:fill="FFFFFF"/>
        </w:rPr>
        <w:t>Cellulosic materials such as bagasse, wood waste, ag</w:t>
      </w:r>
      <w:r>
        <w:rPr>
          <w:color w:val="222222"/>
          <w:szCs w:val="22"/>
          <w:shd w:val="clear" w:color="auto" w:fill="FFFFFF"/>
        </w:rPr>
        <w:t>ricultural and forestry residues etc.;</w:t>
      </w:r>
    </w:p>
    <w:p w:rsidR="006E1BDE" w:rsidRDefault="00244DD3">
      <w:pPr>
        <w:numPr>
          <w:ilvl w:val="0"/>
          <w:numId w:val="7"/>
        </w:numPr>
        <w:tabs>
          <w:tab w:val="left" w:pos="709"/>
        </w:tabs>
        <w:spacing w:before="120"/>
        <w:rPr>
          <w:color w:val="222222"/>
          <w:szCs w:val="22"/>
          <w:shd w:val="clear" w:color="auto" w:fill="FFFFFF"/>
        </w:rPr>
      </w:pPr>
      <w:r>
        <w:rPr>
          <w:color w:val="222222"/>
          <w:szCs w:val="22"/>
          <w:shd w:val="clear" w:color="auto" w:fill="FFFFFF"/>
        </w:rPr>
        <w:t>Biodiesel: a methyl or ethyl ester of fatty acids produced from vegetable oils, both edible and non-edible, or animal fat of diesel quality;</w:t>
      </w:r>
    </w:p>
    <w:p w:rsidR="006E1BDE" w:rsidRDefault="00244DD3">
      <w:pPr>
        <w:numPr>
          <w:ilvl w:val="0"/>
          <w:numId w:val="7"/>
        </w:numPr>
        <w:tabs>
          <w:tab w:val="left" w:pos="709"/>
        </w:tabs>
        <w:spacing w:before="120"/>
        <w:rPr>
          <w:color w:val="222222"/>
          <w:szCs w:val="22"/>
          <w:shd w:val="clear" w:color="auto" w:fill="FFFFFF"/>
        </w:rPr>
      </w:pPr>
      <w:r>
        <w:rPr>
          <w:color w:val="222222"/>
          <w:szCs w:val="22"/>
          <w:shd w:val="clear" w:color="auto" w:fill="FFFFFF"/>
        </w:rPr>
        <w:t>Other biofuels: biomethanol, biosynthetic fuels etc.</w:t>
      </w:r>
    </w:p>
    <w:p w:rsidR="006E1BDE" w:rsidRDefault="00244DD3">
      <w:pPr>
        <w:pStyle w:val="Heading3"/>
        <w:rPr>
          <w:shd w:val="clear" w:color="auto" w:fill="FFFFFF"/>
        </w:rPr>
      </w:pPr>
      <w:bookmarkStart w:id="18" w:name="_Toc516598335"/>
      <w:r>
        <w:rPr>
          <w:shd w:val="clear" w:color="auto" w:fill="FFFFFF"/>
        </w:rPr>
        <w:t xml:space="preserve">Ministry of Petroleum </w:t>
      </w:r>
      <w:r>
        <w:rPr>
          <w:shd w:val="clear" w:color="auto" w:fill="FFFFFF"/>
        </w:rPr>
        <w:t>and Natural Gas and its new powers</w:t>
      </w:r>
      <w:bookmarkEnd w:id="18"/>
    </w:p>
    <w:p w:rsidR="006E1BDE" w:rsidRDefault="00244DD3">
      <w:pPr>
        <w:rPr>
          <w:color w:val="222222"/>
          <w:szCs w:val="22"/>
          <w:shd w:val="clear" w:color="auto" w:fill="FFFFFF"/>
        </w:rPr>
      </w:pPr>
      <w:r>
        <w:rPr>
          <w:color w:val="222222"/>
          <w:szCs w:val="22"/>
          <w:shd w:val="clear" w:color="auto" w:fill="FFFFFF"/>
        </w:rPr>
        <w:t xml:space="preserve">The President of India under clause (3) of the Article 77 of the Constitution of India is conferred with the power to make rules for the more convenient transaction of business of the </w:t>
      </w:r>
      <w:r>
        <w:t>Government</w:t>
      </w:r>
      <w:r>
        <w:rPr>
          <w:color w:val="222222"/>
          <w:szCs w:val="22"/>
          <w:shd w:val="clear" w:color="auto" w:fill="FFFFFF"/>
        </w:rPr>
        <w:t xml:space="preserve"> of India, and for the allo</w:t>
      </w:r>
      <w:r>
        <w:rPr>
          <w:color w:val="222222"/>
          <w:szCs w:val="22"/>
          <w:shd w:val="clear" w:color="auto" w:fill="FFFFFF"/>
        </w:rPr>
        <w:t>cation among Ministries of the said business. Under this provision, the President has formulated the Government of India (Allocation of Business) Rules, 1961. Prior to August 2017, under these rules the MNRE had the power to formulate the National Policy o</w:t>
      </w:r>
      <w:r>
        <w:rPr>
          <w:color w:val="222222"/>
          <w:szCs w:val="22"/>
          <w:shd w:val="clear" w:color="auto" w:fill="FFFFFF"/>
        </w:rPr>
        <w:t>n biofuels and carry out the overall coordination concerning biofuels, however post 4</w:t>
      </w:r>
      <w:r>
        <w:rPr>
          <w:color w:val="222222"/>
          <w:szCs w:val="22"/>
          <w:shd w:val="clear" w:color="auto" w:fill="FFFFFF"/>
          <w:vertAlign w:val="superscript"/>
        </w:rPr>
        <w:t>th</w:t>
      </w:r>
      <w:r>
        <w:rPr>
          <w:color w:val="222222"/>
          <w:szCs w:val="22"/>
          <w:shd w:val="clear" w:color="auto" w:fill="FFFFFF"/>
        </w:rPr>
        <w:t xml:space="preserve"> August 2017</w:t>
      </w:r>
      <w:r>
        <w:rPr>
          <w:rStyle w:val="FootnoteReference"/>
          <w:color w:val="222222"/>
          <w:szCs w:val="22"/>
          <w:shd w:val="clear" w:color="auto" w:fill="FFFFFF"/>
        </w:rPr>
        <w:footnoteReference w:id="53"/>
      </w:r>
      <w:r>
        <w:rPr>
          <w:color w:val="222222"/>
          <w:szCs w:val="22"/>
          <w:shd w:val="clear" w:color="auto" w:fill="FFFFFF"/>
        </w:rPr>
        <w:t>, the MoPNG has been allocated the following:</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 xml:space="preserve">Overall </w:t>
      </w:r>
      <w:r>
        <w:rPr>
          <w:szCs w:val="22"/>
          <w:lang w:eastAsia="nl-BE"/>
        </w:rPr>
        <w:t>coordination</w:t>
      </w:r>
      <w:r>
        <w:rPr>
          <w:color w:val="222222"/>
          <w:szCs w:val="22"/>
          <w:shd w:val="clear" w:color="auto" w:fill="FFFFFF"/>
        </w:rPr>
        <w:t xml:space="preserve"> concerning biofuels;</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National policy on biofuels;</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Marketing, distribution and retailing o</w:t>
      </w:r>
      <w:r>
        <w:rPr>
          <w:color w:val="222222"/>
          <w:szCs w:val="22"/>
          <w:shd w:val="clear" w:color="auto" w:fill="FFFFFF"/>
        </w:rPr>
        <w:t>f biofuels and its blended products;</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Policy/scheme for supporting manufacturing of biofuels;</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Blending and blending prescriptions for biofuels including laying down the standards for such blending;</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Setting up the National Biofuel Development Board and stren</w:t>
      </w:r>
      <w:r>
        <w:rPr>
          <w:color w:val="222222"/>
          <w:szCs w:val="22"/>
          <w:shd w:val="clear" w:color="auto" w:fill="FFFFFF"/>
        </w:rPr>
        <w:t>gthening the existing institutional mechanism;</w:t>
      </w:r>
    </w:p>
    <w:p w:rsidR="006E1BDE" w:rsidRDefault="00244DD3">
      <w:pPr>
        <w:numPr>
          <w:ilvl w:val="0"/>
          <w:numId w:val="11"/>
        </w:numPr>
        <w:tabs>
          <w:tab w:val="left" w:pos="709"/>
        </w:tabs>
        <w:spacing w:before="120"/>
        <w:rPr>
          <w:color w:val="222222"/>
          <w:szCs w:val="22"/>
          <w:shd w:val="clear" w:color="auto" w:fill="FFFFFF"/>
        </w:rPr>
      </w:pPr>
      <w:r>
        <w:rPr>
          <w:color w:val="222222"/>
          <w:szCs w:val="22"/>
          <w:shd w:val="clear" w:color="auto" w:fill="FFFFFF"/>
        </w:rPr>
        <w:t xml:space="preserve">Research, development and demonstration on transport, stationery and other applications of biofuels. </w:t>
      </w:r>
    </w:p>
    <w:p w:rsidR="006E1BDE" w:rsidRDefault="00244DD3">
      <w:pPr>
        <w:pStyle w:val="Heading3"/>
        <w:rPr>
          <w:shd w:val="clear" w:color="auto" w:fill="FFFFFF"/>
        </w:rPr>
      </w:pPr>
      <w:bookmarkStart w:id="19" w:name="_Toc516598336"/>
      <w:r>
        <w:rPr>
          <w:shd w:val="clear" w:color="auto" w:fill="FFFFFF"/>
        </w:rPr>
        <w:t>Legislation and Policies in the Pipeline</w:t>
      </w:r>
      <w:bookmarkEnd w:id="19"/>
    </w:p>
    <w:p w:rsidR="006E1BDE" w:rsidRDefault="00244DD3">
      <w:pPr>
        <w:pStyle w:val="Heading4"/>
        <w:rPr>
          <w:iCs w:val="0"/>
          <w:sz w:val="22"/>
        </w:rPr>
      </w:pPr>
      <w:r>
        <w:rPr>
          <w:iCs w:val="0"/>
          <w:sz w:val="22"/>
        </w:rPr>
        <w:t>The Draft Renewable Energy Act, 2015</w:t>
      </w:r>
    </w:p>
    <w:p w:rsidR="006E1BDE" w:rsidRDefault="00244DD3">
      <w:r>
        <w:t xml:space="preserve">Although the National </w:t>
      </w:r>
      <w:r>
        <w:t>Renewable Energy Act, 2015 is still in draft phase, the draft developed by the MNRE</w:t>
      </w:r>
      <w:r>
        <w:rPr>
          <w:vertAlign w:val="superscript"/>
        </w:rPr>
        <w:footnoteReference w:id="54"/>
      </w:r>
      <w:r>
        <w:rPr>
          <w:vertAlign w:val="superscript"/>
        </w:rPr>
        <w:t xml:space="preserve"> </w:t>
      </w:r>
      <w:r>
        <w:t>proposes to promote the production of energy through the use of renewable energy sources with an aim to reduce dependence on fossil fuels, ensure security of supply and re</w:t>
      </w:r>
      <w:r>
        <w:t>duce emissions of CO2 and other greenhouse gases.</w:t>
      </w:r>
    </w:p>
    <w:p w:rsidR="006E1BDE" w:rsidRDefault="00244DD3">
      <w:pPr>
        <w:rPr>
          <w:color w:val="222222"/>
          <w:szCs w:val="22"/>
          <w:shd w:val="clear" w:color="auto" w:fill="FFFFFF"/>
        </w:rPr>
      </w:pPr>
      <w:r>
        <w:rPr>
          <w:color w:val="222222"/>
          <w:szCs w:val="22"/>
          <w:shd w:val="clear" w:color="auto" w:fill="FFFFFF"/>
        </w:rPr>
        <w:t xml:space="preserve">If implemented, it </w:t>
      </w:r>
      <w:r>
        <w:t>attempts</w:t>
      </w:r>
      <w:r>
        <w:rPr>
          <w:color w:val="222222"/>
          <w:szCs w:val="22"/>
          <w:shd w:val="clear" w:color="auto" w:fill="FFFFFF"/>
        </w:rPr>
        <w:t xml:space="preserve"> to provide a backbone institutional framework to facilitate increase in </w:t>
      </w:r>
      <w:r>
        <w:t>the</w:t>
      </w:r>
      <w:r>
        <w:rPr>
          <w:color w:val="222222"/>
          <w:szCs w:val="22"/>
          <w:shd w:val="clear" w:color="auto" w:fill="FFFFFF"/>
        </w:rPr>
        <w:t xml:space="preserve"> use of renewable energy for all relevant applications including heat, electricity and transport.</w:t>
      </w:r>
    </w:p>
    <w:p w:rsidR="006E1BDE" w:rsidRDefault="00244DD3">
      <w:pPr>
        <w:rPr>
          <w:color w:val="222222"/>
          <w:szCs w:val="22"/>
          <w:shd w:val="clear" w:color="auto" w:fill="FFFFFF"/>
        </w:rPr>
      </w:pPr>
      <w:r>
        <w:rPr>
          <w:color w:val="222222"/>
          <w:szCs w:val="22"/>
          <w:shd w:val="clear" w:color="auto" w:fill="FFFFFF"/>
        </w:rPr>
        <w:t>The d</w:t>
      </w:r>
      <w:r>
        <w:rPr>
          <w:color w:val="222222"/>
          <w:szCs w:val="22"/>
          <w:shd w:val="clear" w:color="auto" w:fill="FFFFFF"/>
        </w:rPr>
        <w:t>raft legislation includes biofuels as a renewable energy source and promotes the development of ‘renewable energy fuels for transportation sector with due considerations for sustainability of such fuels and implications for food security of the country.’</w:t>
      </w:r>
      <w:r>
        <w:rPr>
          <w:rStyle w:val="FootnoteReference"/>
          <w:color w:val="222222"/>
          <w:szCs w:val="22"/>
          <w:shd w:val="clear" w:color="auto" w:fill="FFFFFF"/>
        </w:rPr>
        <w:footnoteReference w:id="55"/>
      </w:r>
    </w:p>
    <w:p w:rsidR="006E1BDE" w:rsidRDefault="00244DD3">
      <w:pPr>
        <w:rPr>
          <w:color w:val="222222"/>
          <w:szCs w:val="22"/>
          <w:shd w:val="clear" w:color="auto" w:fill="FFFFFF"/>
        </w:rPr>
      </w:pPr>
      <w:r>
        <w:rPr>
          <w:color w:val="222222"/>
          <w:szCs w:val="22"/>
          <w:shd w:val="clear" w:color="auto" w:fill="FFFFFF"/>
        </w:rPr>
        <w:t>The Renewable Energy Law could help in developing a clear institutional, financial, and structural policy roadmap for India at a national level. As the situation stands today, there is a need for a holistic framework legislation, which addresses all renewa</w:t>
      </w:r>
      <w:r>
        <w:rPr>
          <w:color w:val="222222"/>
          <w:szCs w:val="22"/>
          <w:shd w:val="clear" w:color="auto" w:fill="FFFFFF"/>
        </w:rPr>
        <w:t>ble energy sources, for electricity generation as well as for other applications such as transport. Therefore the Renewable Energy Law has the potential to fill this gap and act as the central legislation for renewable energy sources.</w:t>
      </w:r>
    </w:p>
    <w:p w:rsidR="006E1BDE" w:rsidRDefault="00244DD3">
      <w:pPr>
        <w:pStyle w:val="Heading4"/>
        <w:rPr>
          <w:iCs w:val="0"/>
          <w:sz w:val="22"/>
        </w:rPr>
      </w:pPr>
      <w:r>
        <w:rPr>
          <w:iCs w:val="0"/>
          <w:sz w:val="22"/>
        </w:rPr>
        <w:t>New Biofuel Policy</w:t>
      </w:r>
    </w:p>
    <w:p w:rsidR="006E1BDE" w:rsidRDefault="00244DD3">
      <w:pPr>
        <w:rPr>
          <w:color w:val="222222"/>
          <w:szCs w:val="22"/>
          <w:shd w:val="clear" w:color="auto" w:fill="FFFFFF"/>
        </w:rPr>
      </w:pPr>
      <w:r>
        <w:rPr>
          <w:color w:val="222222"/>
          <w:szCs w:val="22"/>
          <w:shd w:val="clear" w:color="auto" w:fill="FFFFFF"/>
        </w:rPr>
        <w:t>In</w:t>
      </w:r>
      <w:r>
        <w:rPr>
          <w:color w:val="222222"/>
          <w:szCs w:val="22"/>
          <w:shd w:val="clear" w:color="auto" w:fill="FFFFFF"/>
        </w:rPr>
        <w:t xml:space="preserve"> May 2018, the Cabinet approved the new biofuel policy.</w:t>
      </w:r>
      <w:r>
        <w:rPr>
          <w:rStyle w:val="FootnoteReference"/>
          <w:color w:val="222222"/>
          <w:szCs w:val="22"/>
          <w:shd w:val="clear" w:color="auto" w:fill="FFFFFF"/>
        </w:rPr>
        <w:footnoteReference w:id="56"/>
      </w:r>
      <w:r>
        <w:rPr>
          <w:color w:val="222222"/>
          <w:szCs w:val="22"/>
          <w:shd w:val="clear" w:color="auto" w:fill="FFFFFF"/>
        </w:rPr>
        <w:t xml:space="preserve"> The policy is yet to be notified however it categorises biofuels as Basic Biofuels (includes First Generation biodiesel and bioethanol) and Advanced Biofuels (includes second generation and third gen</w:t>
      </w:r>
      <w:r>
        <w:rPr>
          <w:color w:val="222222"/>
          <w:szCs w:val="22"/>
          <w:shd w:val="clear" w:color="auto" w:fill="FFFFFF"/>
        </w:rPr>
        <w:t>eration biofuels etc.) in order to streamline the financial and fiscal incentives. The Policy primarily focuses on Advanced Biofuels by proposing a viability gap-funding scheme for 2G ethanol bio refineries.</w:t>
      </w:r>
    </w:p>
    <w:p w:rsidR="006E1BDE" w:rsidRDefault="00244DD3">
      <w:pPr>
        <w:rPr>
          <w:color w:val="222222"/>
          <w:szCs w:val="22"/>
          <w:shd w:val="clear" w:color="auto" w:fill="FFFFFF"/>
        </w:rPr>
      </w:pPr>
      <w:r>
        <w:rPr>
          <w:color w:val="222222"/>
          <w:szCs w:val="22"/>
          <w:shd w:val="clear" w:color="auto" w:fill="FFFFFF"/>
        </w:rPr>
        <w:t>The Policy extends the scope of raw materials us</w:t>
      </w:r>
      <w:r>
        <w:rPr>
          <w:color w:val="222222"/>
          <w:szCs w:val="22"/>
          <w:shd w:val="clear" w:color="auto" w:fill="FFFFFF"/>
        </w:rPr>
        <w:t>ed for ethanol production to Sugarcane juice and Damaged food grains unfit for human consumption as well as to surplus food grains with prior approval of the National Biofuel Coordination Committee. Thereby addressing the issues relating to non-availabilit</w:t>
      </w:r>
      <w:r>
        <w:rPr>
          <w:color w:val="222222"/>
          <w:szCs w:val="22"/>
          <w:shd w:val="clear" w:color="auto" w:fill="FFFFFF"/>
        </w:rPr>
        <w:t>y of domestic feedstock for biofuel production.</w:t>
      </w:r>
    </w:p>
    <w:p w:rsidR="006E1BDE" w:rsidRDefault="00244DD3">
      <w:pPr>
        <w:rPr>
          <w:color w:val="222222"/>
          <w:szCs w:val="22"/>
          <w:shd w:val="clear" w:color="auto" w:fill="FFFFFF"/>
        </w:rPr>
      </w:pPr>
      <w:r>
        <w:rPr>
          <w:color w:val="222222"/>
          <w:szCs w:val="22"/>
          <w:shd w:val="clear" w:color="auto" w:fill="FFFFFF"/>
        </w:rPr>
        <w:t>The policy focuses on reducing import dependency, proposes mechanisms for a cleaner environment, providing opportunities for infrastructural investment in rural areas, generation of employment as well propose</w:t>
      </w:r>
      <w:r>
        <w:rPr>
          <w:color w:val="222222"/>
          <w:szCs w:val="22"/>
          <w:shd w:val="clear" w:color="auto" w:fill="FFFFFF"/>
        </w:rPr>
        <w:t xml:space="preserve">s mechanisms for providing additional income to farmers. </w:t>
      </w:r>
    </w:p>
    <w:p w:rsidR="006E1BDE" w:rsidRDefault="00244DD3">
      <w:pPr>
        <w:pStyle w:val="Heading2"/>
        <w:ind w:left="720" w:hanging="720"/>
      </w:pPr>
      <w:bookmarkStart w:id="20" w:name="_Toc516598337"/>
      <w:r>
        <w:t>Comparative Analysis</w:t>
      </w:r>
      <w:bookmarkEnd w:id="20"/>
    </w:p>
    <w:p w:rsidR="006E1BDE" w:rsidRDefault="00244DD3">
      <w:pPr>
        <w:rPr>
          <w:szCs w:val="22"/>
        </w:rPr>
      </w:pPr>
      <w:r>
        <w:rPr>
          <w:szCs w:val="22"/>
        </w:rPr>
        <w:t>This section looks into the similarities and differences between the Indian policy on advanced biofuels and the EUs approach on the same, providing a comparative breakdown on is</w:t>
      </w:r>
      <w:r>
        <w:rPr>
          <w:szCs w:val="22"/>
        </w:rPr>
        <w:t>sues, which have emerged important for the two jurisdictions. As mentioned in the preamble for the study, this could prove to be fruitful for facilitating further cooperation between governments, technology developers and the industry. For the purpose of t</w:t>
      </w:r>
      <w:r>
        <w:rPr>
          <w:szCs w:val="22"/>
        </w:rPr>
        <w:t>his section below, each key issue will be subsequently analysed and compared from the India and EU perspective.</w:t>
      </w:r>
    </w:p>
    <w:p w:rsidR="006E1BDE" w:rsidRDefault="00244DD3">
      <w:pPr>
        <w:pStyle w:val="Heading3"/>
      </w:pPr>
      <w:bookmarkStart w:id="21" w:name="_Toc516598338"/>
      <w:r>
        <w:t>Instrument</w:t>
      </w:r>
      <w:bookmarkEnd w:id="21"/>
    </w:p>
    <w:p w:rsidR="006E1BDE" w:rsidRDefault="00244DD3">
      <w:r>
        <w:t>At the outset, before further delving into the substantial issues that concern the two jurisdictions, it would be pertinent to note t</w:t>
      </w:r>
      <w:r>
        <w:t xml:space="preserve">hat the Renewable Energy Directive (RED), the primary source </w:t>
      </w:r>
      <w:r>
        <w:rPr>
          <w:szCs w:val="22"/>
        </w:rPr>
        <w:t>of</w:t>
      </w:r>
      <w:r>
        <w:t xml:space="preserve"> legislation concerning biofuels in the EU is a legislative Act. The RED is a result of </w:t>
      </w:r>
      <w:r>
        <w:rPr>
          <w:szCs w:val="22"/>
        </w:rPr>
        <w:t>several</w:t>
      </w:r>
      <w:r>
        <w:t xml:space="preserve"> policies and legislative acts that have preceded it. As shown above, these concerned biofuels in </w:t>
      </w:r>
      <w:r>
        <w:t>one-way or another. The Indian approach on biofuels however, at the moment is reflected through its National Biofuel Policy, which lays down a framework under which the general biofuel program of India is implemented. The policy is yet to be transposed int</w:t>
      </w:r>
      <w:r>
        <w:t>o legislation. Prior to this the Indian biofuel program was advanced through ad hoc programs such as the Ethanol Blending Program or the National Biodiesel Mission undertaken by the MoPNG. Accordingly, further comparisons between the two jurisdictions will</w:t>
      </w:r>
      <w:r>
        <w:t xml:space="preserve"> be made on the basis of these two instruments.</w:t>
      </w:r>
    </w:p>
    <w:p w:rsidR="006E1BDE" w:rsidRDefault="00244DD3">
      <w:pPr>
        <w:pStyle w:val="Heading3"/>
      </w:pPr>
      <w:bookmarkStart w:id="22" w:name="_Toc516598339"/>
      <w:r>
        <w:t>Implementation of legislation/policy</w:t>
      </w:r>
      <w:bookmarkEnd w:id="22"/>
    </w:p>
    <w:p w:rsidR="006E1BDE" w:rsidRDefault="00244DD3">
      <w:r>
        <w:t>Whereas the RED establishes a common framework for the Member States for promoting, amongst others, the use of biofuels, it are the individual Member States that must implement the RED in their own legislation in order to do so. Similarly, while the RED se</w:t>
      </w:r>
      <w:r>
        <w:t>ts mandatory targets that the Member States must achieve for, amongst others, the share of renewable energy in transport, it is through national legislation within the framework established by the RED that the Member States must achieve this. The Member St</w:t>
      </w:r>
      <w:r>
        <w:t xml:space="preserve">ates have certain room for policy choices and to decide the manner in which to achieve their targets, as long as this is done within the framework of the RED and not contrary to it. </w:t>
      </w:r>
    </w:p>
    <w:p w:rsidR="006E1BDE" w:rsidRDefault="00244DD3">
      <w:r>
        <w:t>For instance, as discussed in more detail below, the RED establishes sust</w:t>
      </w:r>
      <w:r>
        <w:t>ainability criteria for biofuels, and the biofuels that can count towards the target of a Member State must meet these criteria. This means that a Member State must implement these sustainability criteria in one way or another in their national legislation</w:t>
      </w:r>
      <w:r>
        <w:t>. Whereas this allows the Member States certain flexibility to implement the RED in a way that is most suitable to its national situation, this can also lead to discrepancies in treatment between different Member States, leading to potential barriers in th</w:t>
      </w:r>
      <w:r>
        <w:t xml:space="preserve">e internal market. </w:t>
      </w:r>
    </w:p>
    <w:p w:rsidR="006E1BDE" w:rsidRDefault="00244DD3">
      <w:r>
        <w:t>In India, the National Biofuel Coordination Committee as set up under the Policy is responsible for providing the overall coordination, effective end-to-end implementation and monitoring of biofuel programmes as set up under the Policy.</w:t>
      </w:r>
      <w:r>
        <w:t xml:space="preserve"> Furthermore, the Biofuel Steering Committee (headed by the Cabinet Secretary and comprising of Secretaries from concerned departments) is the overarching body that oversees the overall implementation of the policy on a regular basis. The Policy also stipu</w:t>
      </w:r>
      <w:r>
        <w:t>lates that State Governments should also be involved in the planning and implementation of biofuel programmes. The policy requires each state to have designated nodal agency to carry out the functions of developing and promoting biofuels in their states. T</w:t>
      </w:r>
      <w:r>
        <w:t>he State Governments have the power to decide on land use for plantation of feedstock for biofuels and on allotment of Government wasteland, degraded land for raising such plantations.</w:t>
      </w:r>
    </w:p>
    <w:p w:rsidR="006E1BDE" w:rsidRDefault="00244DD3">
      <w:r>
        <w:t xml:space="preserve">The MoPNG in India is the nodal ministry in charge of managing the day </w:t>
      </w:r>
      <w:r>
        <w:t>to day functioning of the biofuel programme as well as the overall coordination of biofuels. It formulates the forthcoming biofuel policies for India, undertakes all the activities relating to marketing, retailing and distribution of biofuels and its blend</w:t>
      </w:r>
      <w:r>
        <w:t>ed products, rolling out schemes for supporting biofuel manufacturing as well as prescribing the standards of biofuel blending.</w:t>
      </w:r>
    </w:p>
    <w:p w:rsidR="006E1BDE" w:rsidRDefault="00244DD3">
      <w:pPr>
        <w:pStyle w:val="Heading3"/>
      </w:pPr>
      <w:bookmarkStart w:id="23" w:name="_Toc516598340"/>
      <w:r>
        <w:t>Aims and Objectives</w:t>
      </w:r>
      <w:bookmarkEnd w:id="23"/>
    </w:p>
    <w:p w:rsidR="006E1BDE" w:rsidRDefault="00244DD3">
      <w:r>
        <w:t>The RED works towards the objectives of promoting reduction of greenhouse gas emissions through the use of r</w:t>
      </w:r>
      <w:r>
        <w:t>enewable energy sources as well as security of energy supply and providing employment opportunities. The NBP too aims to mainstream biofuels, which would work towards climate change mitigation, create employment opportunities, contribute to energy security</w:t>
      </w:r>
      <w:r>
        <w:t xml:space="preserve"> for the country as well as lead to an environmentally sustainable development. Both the instruments recognize the role that biofuels could play in achieving similar goals. However, while in the EU the key aim and objective appears to be climate change mit</w:t>
      </w:r>
      <w:r>
        <w:t>igation, in India the focus appears to be more on energy security.</w:t>
      </w:r>
    </w:p>
    <w:p w:rsidR="006E1BDE" w:rsidRDefault="00244DD3">
      <w:pPr>
        <w:pStyle w:val="Heading3"/>
      </w:pPr>
      <w:bookmarkStart w:id="24" w:name="_Toc516598341"/>
      <w:r>
        <w:t>Definition of Biofuels</w:t>
      </w:r>
      <w:bookmarkEnd w:id="24"/>
    </w:p>
    <w:p w:rsidR="006E1BDE" w:rsidRDefault="00244DD3">
      <w:r>
        <w:t>The NBP defines biofuels as liquid or gaseous fuels produced from biomass resources for transport, stationery, portable and other applications.  The RED however limit</w:t>
      </w:r>
      <w:r>
        <w:t>s biofuels to liquid or gaseous fuel produced from biomass for transport. It does although include liquid fuel produced from biomass for purposes other than transport such as electricity, heating and cooling within its ambit. The only difference being that</w:t>
      </w:r>
      <w:r>
        <w:t xml:space="preserve"> the fuels produced from biomass used for purposes other than transport are termed as bioliquids. The bioliquids are also subject to the provisions of the RED.</w:t>
      </w:r>
    </w:p>
    <w:p w:rsidR="006E1BDE" w:rsidRDefault="00244DD3">
      <w:pPr>
        <w:pStyle w:val="Heading3"/>
      </w:pPr>
      <w:bookmarkStart w:id="25" w:name="_Toc516598342"/>
      <w:r>
        <w:t>Implementation of targets</w:t>
      </w:r>
      <w:bookmarkEnd w:id="25"/>
    </w:p>
    <w:p w:rsidR="006E1BDE" w:rsidRDefault="00244DD3">
      <w:r>
        <w:t>The two jurisdictions differ in the manner in which the biofuel legisl</w:t>
      </w:r>
      <w:r>
        <w:t>ation/policy is implemented with respect to the imposition of targets. The EU adopts an approach whereby it requires EU Member States to achieve a certain share of renewable energy in the total energy used in transport. On the other hand, the Indian NBF im</w:t>
      </w:r>
      <w:r>
        <w:t>poses blending targets on oil companies, for blending a certain percentage of biofuel with petrol or diesel as the case may be. Therefore what culminates is that the EU establishes a mandatory target of obtaining a 10% share of Union energy consumption fro</w:t>
      </w:r>
      <w:r>
        <w:t xml:space="preserve">m renewable energy sources in all forms of transport by 2020; whereas India has an indicative target of 20% blending of biofuels (both bio-ethanol and bio-diesel) by 2017. Moreover, whereas the NBP sets a blending target for biofuels specifically, the 10% </w:t>
      </w:r>
      <w:r>
        <w:t>target in the EU applies to all renewable energy sources in transport. However, the RED II proposes to impose a target on market operators, similar to the Indian approach.</w:t>
      </w:r>
    </w:p>
    <w:p w:rsidR="006E1BDE" w:rsidRDefault="00244DD3">
      <w:pPr>
        <w:pStyle w:val="Heading3"/>
      </w:pPr>
      <w:bookmarkStart w:id="26" w:name="_Toc516598343"/>
      <w:r>
        <w:t>Sustainability Criteria</w:t>
      </w:r>
      <w:bookmarkEnd w:id="26"/>
    </w:p>
    <w:p w:rsidR="006E1BDE" w:rsidRDefault="00244DD3">
      <w:r>
        <w:t>The EU through the RED imposes sustainability criteria on bi</w:t>
      </w:r>
      <w:r>
        <w:t>ofuels in order for them to be counted towards the target as well as for them to receive financial support. These criteria are imposed on raw material cultivated both within and outside the EU and is done to ensure that biofuels consumed in the EU are sust</w:t>
      </w:r>
      <w:r>
        <w:t>ainable. Under these criteria, GHG emission savings from the use of biofuels as compared to the use of fossil fuels must be at least 35%-60%.</w:t>
      </w:r>
      <w:r>
        <w:rPr>
          <w:rStyle w:val="FootnoteReference"/>
        </w:rPr>
        <w:footnoteReference w:id="57"/>
      </w:r>
      <w:r>
        <w:t xml:space="preserve"> Furthermore biofuels may not be made from raw materials derived from land with high biodiversity value, high carb</w:t>
      </w:r>
      <w:r>
        <w:t>on stock or peatland. These were added in order to ensure a coherent approach between energy and environment.</w:t>
      </w:r>
    </w:p>
    <w:p w:rsidR="006E1BDE" w:rsidRDefault="00244DD3">
      <w:r>
        <w:t>The NBF identifies biofuels as environmentally friendly fuels and establishes that the use of biofuels in the transportation sector in particular would address the global concerns about the containment of carbon emissions. The criteria as set out in the RE</w:t>
      </w:r>
      <w:r>
        <w:t xml:space="preserve">D to ascertain the sustainability of biofuels is missing in the Indian biofuels policy as it stands today. </w:t>
      </w:r>
    </w:p>
    <w:p w:rsidR="006E1BDE" w:rsidRDefault="00244DD3">
      <w:r>
        <w:t xml:space="preserve">This element strongly suggests that the RED currently focuses more on combatting climate change than the Indian biofuels policy. </w:t>
      </w:r>
    </w:p>
    <w:p w:rsidR="006E1BDE" w:rsidRDefault="00244DD3">
      <w:pPr>
        <w:pStyle w:val="Heading3"/>
      </w:pPr>
      <w:bookmarkStart w:id="27" w:name="_Toc516598344"/>
      <w:r>
        <w:t xml:space="preserve">Indirect land use </w:t>
      </w:r>
      <w:r>
        <w:t>change (ILUC)</w:t>
      </w:r>
      <w:bookmarkEnd w:id="27"/>
    </w:p>
    <w:p w:rsidR="006E1BDE" w:rsidRDefault="00244DD3">
      <w:r>
        <w:t>While closely related to the already existing sustainability criteria, the Directive concerning Indirect Land Use Change came into force in 2015 in the EU. This strives to reduce the use of agricultural land for biofuels production, whether i</w:t>
      </w:r>
      <w:r>
        <w:t>nside or outside the EU, for biofuels consumed in the EU.</w:t>
      </w:r>
    </w:p>
    <w:p w:rsidR="006E1BDE" w:rsidRDefault="00244DD3">
      <w:pPr>
        <w:rPr>
          <w:szCs w:val="22"/>
        </w:rPr>
      </w:pPr>
      <w:r>
        <w:t>The Indian biofuel policy addresses the fuel v. food security issue by attempting to ensure that its approach to biofuels is based solely on non-food feedstocks raised on degraded or wastelands that</w:t>
      </w:r>
      <w:r>
        <w:t xml:space="preserve"> are not suited for agriculture. While the direct aim thereof is unrelated to ILUC, this would however appear to address ILUC concerns.</w:t>
      </w:r>
    </w:p>
    <w:p w:rsidR="006E1BDE" w:rsidRDefault="00244DD3">
      <w:pPr>
        <w:pStyle w:val="Heading3"/>
      </w:pPr>
      <w:bookmarkStart w:id="28" w:name="_Toc516598345"/>
      <w:r>
        <w:t>Advanced Biofuels</w:t>
      </w:r>
      <w:bookmarkEnd w:id="28"/>
    </w:p>
    <w:p w:rsidR="006E1BDE" w:rsidRDefault="00244DD3">
      <w:pPr>
        <w:rPr>
          <w:b/>
          <w:szCs w:val="22"/>
        </w:rPr>
      </w:pPr>
      <w:r>
        <w:t xml:space="preserve">One of the glaring differences between the two jurisdictions is the way biofuels are addressed. While </w:t>
      </w:r>
      <w:r>
        <w:t>the NBP encourages the development of second-generation biofuels, the RED goes a step further and double counts the use thereof. Indeed, it double counts the use of advanced biofuels as well as biofuels produced from used cooking oil and animal fats. The N</w:t>
      </w:r>
      <w:r>
        <w:t>BP does not make such a distinction between biofuels towards achieving the blending target. Rather, it merely places a focus on financial incentives and R&amp;D for second generation biofuels.</w:t>
      </w:r>
    </w:p>
    <w:p w:rsidR="006E1BDE" w:rsidRDefault="00244DD3">
      <w:pPr>
        <w:pStyle w:val="Heading1"/>
        <w:rPr>
          <w:sz w:val="22"/>
          <w:szCs w:val="22"/>
        </w:rPr>
      </w:pPr>
      <w:bookmarkStart w:id="29" w:name="_Toc516598346"/>
      <w:r>
        <w:rPr>
          <w:sz w:val="22"/>
          <w:szCs w:val="22"/>
        </w:rPr>
        <w:t>EU-India Trade and cooperation on energy and science and technology</w:t>
      </w:r>
      <w:bookmarkEnd w:id="29"/>
    </w:p>
    <w:p w:rsidR="006E1BDE" w:rsidRDefault="00244DD3">
      <w:pPr>
        <w:pStyle w:val="Heading2"/>
      </w:pPr>
      <w:bookmarkStart w:id="30" w:name="_Toc516598347"/>
      <w:r>
        <w:t>Introduction</w:t>
      </w:r>
      <w:bookmarkEnd w:id="30"/>
    </w:p>
    <w:p w:rsidR="006E1BDE" w:rsidRDefault="00244DD3">
      <w:pPr>
        <w:rPr>
          <w:szCs w:val="22"/>
          <w:lang w:eastAsia="sv-SE"/>
        </w:rPr>
      </w:pPr>
      <w:r>
        <w:rPr>
          <w:szCs w:val="22"/>
          <w:lang w:eastAsia="sv-SE"/>
        </w:rPr>
        <w:t>Having compared the policies and existing legislation in both the EU and India it is important to place into perspective the EU-India Cooperation on Energy and Science and Technology. These two joint efforts between the EU and India provide t</w:t>
      </w:r>
      <w:r>
        <w:rPr>
          <w:szCs w:val="22"/>
          <w:lang w:eastAsia="sv-SE"/>
        </w:rPr>
        <w:t>he foundations and facilitates any cooperation between scientists, academics, technology developers and industry partners between the two parties on collaborative actions on energy issues. Specifically, the Indo-European Clean Energy and Climate Partnershi</w:t>
      </w:r>
      <w:r>
        <w:rPr>
          <w:szCs w:val="22"/>
          <w:lang w:eastAsia="sv-SE"/>
        </w:rPr>
        <w:t>p identifies advanced biofuels as an area of common interest. On the basis of these EU-India co-operations the description of the various technology value chains will be described in the next chapter.</w:t>
      </w:r>
    </w:p>
    <w:p w:rsidR="006E1BDE" w:rsidRDefault="00244DD3">
      <w:pPr>
        <w:rPr>
          <w:szCs w:val="22"/>
          <w:lang w:eastAsia="sv-SE"/>
        </w:rPr>
      </w:pPr>
      <w:r>
        <w:rPr>
          <w:szCs w:val="22"/>
          <w:lang w:eastAsia="sv-SE"/>
        </w:rPr>
        <w:t>The European Union and the government of India have sig</w:t>
      </w:r>
      <w:r>
        <w:rPr>
          <w:szCs w:val="22"/>
          <w:lang w:eastAsia="sv-SE"/>
        </w:rPr>
        <w:t xml:space="preserve">ned cooperation agreements in several areas, however, of importance to this work there are two such agreements: </w:t>
      </w:r>
    </w:p>
    <w:p w:rsidR="006E1BDE" w:rsidRDefault="00244DD3">
      <w:pPr>
        <w:pStyle w:val="ListParagraph"/>
        <w:ind w:left="572" w:hanging="215"/>
        <w:rPr>
          <w:szCs w:val="22"/>
          <w:lang w:eastAsia="sv-SE"/>
        </w:rPr>
      </w:pPr>
      <w:r>
        <w:rPr>
          <w:szCs w:val="22"/>
          <w:lang w:eastAsia="sv-SE"/>
        </w:rPr>
        <w:t>on Energy</w:t>
      </w:r>
      <w:r>
        <w:rPr>
          <w:rStyle w:val="FootnoteReference"/>
          <w:szCs w:val="22"/>
          <w:lang w:eastAsia="sv-SE"/>
        </w:rPr>
        <w:footnoteReference w:id="58"/>
      </w:r>
      <w:r>
        <w:rPr>
          <w:szCs w:val="22"/>
          <w:lang w:eastAsia="sv-SE"/>
        </w:rPr>
        <w:t>, and,</w:t>
      </w:r>
    </w:p>
    <w:p w:rsidR="006E1BDE" w:rsidRDefault="00244DD3">
      <w:pPr>
        <w:pStyle w:val="ListParagraph"/>
        <w:ind w:left="572" w:hanging="215"/>
        <w:rPr>
          <w:szCs w:val="22"/>
          <w:lang w:eastAsia="sv-SE"/>
        </w:rPr>
      </w:pPr>
      <w:r>
        <w:rPr>
          <w:szCs w:val="22"/>
          <w:lang w:eastAsia="sv-SE"/>
        </w:rPr>
        <w:t>on  Science &amp; Technology</w:t>
      </w:r>
      <w:r>
        <w:rPr>
          <w:rStyle w:val="FootnoteReference"/>
          <w:szCs w:val="22"/>
          <w:lang w:eastAsia="sv-SE"/>
        </w:rPr>
        <w:footnoteReference w:id="59"/>
      </w:r>
      <w:r>
        <w:rPr>
          <w:szCs w:val="22"/>
          <w:lang w:eastAsia="sv-SE"/>
        </w:rPr>
        <w:t>.</w:t>
      </w:r>
    </w:p>
    <w:p w:rsidR="006E1BDE" w:rsidRDefault="00244DD3">
      <w:pPr>
        <w:numPr>
          <w:ilvl w:val="0"/>
          <w:numId w:val="0"/>
        </w:numPr>
        <w:rPr>
          <w:szCs w:val="22"/>
          <w:lang w:eastAsia="sv-SE"/>
        </w:rPr>
      </w:pPr>
      <w:r>
        <w:rPr>
          <w:szCs w:val="22"/>
          <w:lang w:eastAsia="sv-SE"/>
        </w:rPr>
        <w:t xml:space="preserve">At the same time, there are trade opportunities between the EU and India in the field of biofuels, </w:t>
      </w:r>
      <w:r>
        <w:rPr>
          <w:szCs w:val="22"/>
          <w:lang w:eastAsia="sv-SE"/>
        </w:rPr>
        <w:t>as well as potential trade barriers.</w:t>
      </w:r>
    </w:p>
    <w:p w:rsidR="006E1BDE" w:rsidRDefault="00244DD3">
      <w:pPr>
        <w:pStyle w:val="Heading2"/>
      </w:pPr>
      <w:bookmarkStart w:id="31" w:name="_Toc516598348"/>
      <w:r>
        <w:t>Cooperation on Energy</w:t>
      </w:r>
      <w:bookmarkEnd w:id="31"/>
    </w:p>
    <w:p w:rsidR="006E1BDE" w:rsidRDefault="00244DD3">
      <w:pPr>
        <w:pStyle w:val="Heading3"/>
        <w:rPr>
          <w:szCs w:val="22"/>
        </w:rPr>
      </w:pPr>
      <w:bookmarkStart w:id="32" w:name="_Toc516598349"/>
      <w:r>
        <w:rPr>
          <w:szCs w:val="22"/>
        </w:rPr>
        <w:t>The EU-India Strategic Partnership</w:t>
      </w:r>
      <w:bookmarkEnd w:id="32"/>
    </w:p>
    <w:p w:rsidR="006E1BDE" w:rsidRDefault="00244DD3">
      <w:pPr>
        <w:rPr>
          <w:szCs w:val="22"/>
          <w:lang w:eastAsia="sv-SE"/>
        </w:rPr>
      </w:pPr>
      <w:r>
        <w:rPr>
          <w:szCs w:val="22"/>
          <w:lang w:eastAsia="sv-SE"/>
        </w:rPr>
        <w:t xml:space="preserve">The EU-India Strategic Partnership was created in 2004, but EU-India diplomatic relations date back to 1962. The 1994 EU-India Cooperation Agreement, the legal </w:t>
      </w:r>
      <w:r>
        <w:rPr>
          <w:szCs w:val="22"/>
          <w:lang w:eastAsia="sv-SE"/>
        </w:rPr>
        <w:t>framework for EU-India relations, boosted political, economic and sectorial cooperation. EU-India relations have evolved through regular Summits, Ministerial and expert-level meetings on a broad range of issues. In addition, regular Parliamentary exchanges</w:t>
      </w:r>
      <w:r>
        <w:rPr>
          <w:szCs w:val="22"/>
          <w:lang w:eastAsia="sv-SE"/>
        </w:rPr>
        <w:t xml:space="preserve"> have taken place. To underpin that Strategic Partnership, the 2005 Summit adopted the EU-India Joint Action Plan (the ‘JAP’), which was updated in 2008</w:t>
      </w:r>
      <w:r>
        <w:rPr>
          <w:rStyle w:val="FootnoteReference"/>
          <w:szCs w:val="22"/>
          <w:lang w:eastAsia="sv-SE"/>
        </w:rPr>
        <w:footnoteReference w:id="60"/>
      </w:r>
      <w:r>
        <w:rPr>
          <w:szCs w:val="22"/>
          <w:lang w:eastAsia="sv-SE"/>
        </w:rPr>
        <w:t>.</w:t>
      </w:r>
    </w:p>
    <w:p w:rsidR="006E1BDE" w:rsidRDefault="00244DD3">
      <w:pPr>
        <w:pStyle w:val="Heading3"/>
        <w:rPr>
          <w:szCs w:val="22"/>
          <w:lang w:eastAsia="sv-SE"/>
        </w:rPr>
      </w:pPr>
      <w:bookmarkStart w:id="33" w:name="_Toc516598350"/>
      <w:r>
        <w:rPr>
          <w:szCs w:val="22"/>
          <w:lang w:eastAsia="sv-SE"/>
        </w:rPr>
        <w:t>The 2016 Summit on Indo-European Clean Energy and Climate Partnership</w:t>
      </w:r>
      <w:bookmarkEnd w:id="33"/>
    </w:p>
    <w:p w:rsidR="006E1BDE" w:rsidRDefault="00244DD3">
      <w:pPr>
        <w:rPr>
          <w:szCs w:val="22"/>
          <w:lang w:eastAsia="sv-SE"/>
        </w:rPr>
      </w:pPr>
      <w:r>
        <w:rPr>
          <w:szCs w:val="22"/>
          <w:lang w:eastAsia="sv-SE"/>
        </w:rPr>
        <w:t>India has rapidly growing energ</w:t>
      </w:r>
      <w:r>
        <w:rPr>
          <w:szCs w:val="22"/>
          <w:lang w:eastAsia="sv-SE"/>
        </w:rPr>
        <w:t>y needs due to a growing GDP and population and a huge energy infrastructure deficit. India is focusing on domestic production, including renewables and nuclear, and on energy efficiency. EU-India energy cooperation was considerably strengthened over the p</w:t>
      </w:r>
      <w:r>
        <w:rPr>
          <w:szCs w:val="22"/>
          <w:lang w:eastAsia="sv-SE"/>
        </w:rPr>
        <w:t>ast years, which led to the launch, at the 2016 Summit, of an Indo-European Clean Energy and Climate Partnership. During the EU-India Summit an India- European Union Clean Energy and Climate Partnership was announced with the aim of reinforcing cooperation</w:t>
      </w:r>
      <w:r>
        <w:rPr>
          <w:szCs w:val="22"/>
          <w:lang w:eastAsia="sv-SE"/>
        </w:rPr>
        <w:t xml:space="preserve"> on implementation of the Paris Agreement by strengthening joint activities for deployment of climate friendly energy sources. The partnership brings together, in a joined-up approach, the EU and its Member States, EU and Indian institutions, businesses an</w:t>
      </w:r>
      <w:r>
        <w:rPr>
          <w:szCs w:val="22"/>
          <w:lang w:eastAsia="sv-SE"/>
        </w:rPr>
        <w:t>d civil society. The aim is to jointly implement concrete projects, to promote access to and disseminate clean energy and climate friendly technologies and encourage research and development. Energy Panel meets annually at senior officials’ level and an en</w:t>
      </w:r>
      <w:r>
        <w:rPr>
          <w:szCs w:val="22"/>
          <w:lang w:eastAsia="sv-SE"/>
        </w:rPr>
        <w:t xml:space="preserve">ergy security working group was launched in 2016. Working groups on clean coal and renewable and efficient energy are also active. Energy cooperation is thus ongoing on a broad range of energy issues, like smart grids, energy efficiency, offshore wind and </w:t>
      </w:r>
      <w:r>
        <w:rPr>
          <w:szCs w:val="22"/>
          <w:lang w:eastAsia="sv-SE"/>
        </w:rPr>
        <w:t xml:space="preserve">solar, infrastructure and research and innovation (cooling). </w:t>
      </w:r>
    </w:p>
    <w:p w:rsidR="006E1BDE" w:rsidRDefault="00244DD3">
      <w:pPr>
        <w:rPr>
          <w:szCs w:val="22"/>
          <w:lang w:eastAsia="sv-SE"/>
        </w:rPr>
      </w:pPr>
      <w:r>
        <w:rPr>
          <w:szCs w:val="22"/>
          <w:lang w:eastAsia="sv-SE"/>
        </w:rPr>
        <w:t>At the 2016 Summit cooperation on advance biofuels was not included as an area of common interest and no Working Group was established.</w:t>
      </w:r>
    </w:p>
    <w:p w:rsidR="006E1BDE" w:rsidRDefault="00244DD3">
      <w:pPr>
        <w:pStyle w:val="Heading3"/>
        <w:rPr>
          <w:szCs w:val="22"/>
          <w:lang w:eastAsia="sv-SE"/>
        </w:rPr>
      </w:pPr>
      <w:bookmarkStart w:id="34" w:name="_Toc516598351"/>
      <w:r>
        <w:rPr>
          <w:szCs w:val="22"/>
          <w:lang w:eastAsia="sv-SE"/>
        </w:rPr>
        <w:t>The EU-INDIA Joint Statement on Clean Energy &amp; Climate Cha</w:t>
      </w:r>
      <w:r>
        <w:rPr>
          <w:szCs w:val="22"/>
          <w:lang w:eastAsia="sv-SE"/>
        </w:rPr>
        <w:t xml:space="preserve">nge of 6 October </w:t>
      </w:r>
      <w:r>
        <w:rPr>
          <w:szCs w:val="22"/>
          <w:lang w:eastAsia="sv-SE"/>
        </w:rPr>
        <w:tab/>
        <w:t>2017</w:t>
      </w:r>
      <w:bookmarkEnd w:id="34"/>
    </w:p>
    <w:p w:rsidR="006E1BDE" w:rsidRDefault="00244DD3">
      <w:pPr>
        <w:rPr>
          <w:szCs w:val="22"/>
          <w:lang w:eastAsia="sv-SE"/>
        </w:rPr>
      </w:pPr>
      <w:r>
        <w:rPr>
          <w:szCs w:val="22"/>
          <w:lang w:eastAsia="sv-SE"/>
        </w:rPr>
        <w:t>However, following discussions between the Directorate General for Energy and the Ministry of Petroleum and Natural Gas both sides agreed to include advance biofuels as such an area of common interest. This was included in the EU-IND</w:t>
      </w:r>
      <w:r>
        <w:rPr>
          <w:szCs w:val="22"/>
          <w:lang w:eastAsia="sv-SE"/>
        </w:rPr>
        <w:t>IA Joint Statement on Clean Energy &amp; Climate Change</w:t>
      </w:r>
      <w:r>
        <w:rPr>
          <w:rStyle w:val="FootnoteReference"/>
          <w:szCs w:val="22"/>
          <w:lang w:eastAsia="sv-SE"/>
        </w:rPr>
        <w:footnoteReference w:id="61"/>
      </w:r>
      <w:r>
        <w:rPr>
          <w:szCs w:val="22"/>
          <w:lang w:eastAsia="sv-SE"/>
        </w:rPr>
        <w:t xml:space="preserve"> issued on 6 October 2017 at New Delhi. The areas of mutual importance to the clean energy transition for which EU and India intend to step up cooperation are:</w:t>
      </w:r>
    </w:p>
    <w:p w:rsidR="006E1BDE" w:rsidRDefault="00244DD3">
      <w:pPr>
        <w:pStyle w:val="ListParagraph"/>
        <w:ind w:left="572" w:hanging="215"/>
        <w:rPr>
          <w:szCs w:val="22"/>
          <w:lang w:eastAsia="sv-SE"/>
        </w:rPr>
      </w:pPr>
      <w:r>
        <w:rPr>
          <w:szCs w:val="22"/>
          <w:lang w:eastAsia="sv-SE"/>
        </w:rPr>
        <w:t>The implementation of climate action commitm</w:t>
      </w:r>
      <w:r>
        <w:rPr>
          <w:szCs w:val="22"/>
          <w:lang w:eastAsia="sv-SE"/>
        </w:rPr>
        <w:t xml:space="preserve">ents </w:t>
      </w:r>
    </w:p>
    <w:p w:rsidR="006E1BDE" w:rsidRDefault="00244DD3">
      <w:pPr>
        <w:pStyle w:val="ListParagraph"/>
        <w:ind w:left="572" w:hanging="215"/>
        <w:rPr>
          <w:szCs w:val="22"/>
          <w:lang w:eastAsia="sv-SE"/>
        </w:rPr>
      </w:pPr>
      <w:r>
        <w:rPr>
          <w:szCs w:val="22"/>
          <w:lang w:eastAsia="sv-SE"/>
        </w:rPr>
        <w:t>Green cooling and sustainable refrigeration technologies</w:t>
      </w:r>
    </w:p>
    <w:p w:rsidR="006E1BDE" w:rsidRDefault="00244DD3">
      <w:pPr>
        <w:pStyle w:val="ListParagraph"/>
        <w:ind w:left="572" w:hanging="215"/>
        <w:rPr>
          <w:szCs w:val="22"/>
          <w:lang w:eastAsia="sv-SE"/>
        </w:rPr>
      </w:pPr>
      <w:r>
        <w:rPr>
          <w:szCs w:val="22"/>
          <w:lang w:eastAsia="sv-SE"/>
        </w:rPr>
        <w:t>Grid integrated Solar Pumping</w:t>
      </w:r>
    </w:p>
    <w:p w:rsidR="006E1BDE" w:rsidRDefault="00244DD3">
      <w:pPr>
        <w:pStyle w:val="ListParagraph"/>
        <w:ind w:left="572" w:hanging="215"/>
        <w:rPr>
          <w:szCs w:val="22"/>
          <w:lang w:eastAsia="sv-SE"/>
        </w:rPr>
      </w:pPr>
      <w:r>
        <w:rPr>
          <w:szCs w:val="22"/>
          <w:lang w:eastAsia="sv-SE"/>
        </w:rPr>
        <w:t>Off shore wind</w:t>
      </w:r>
    </w:p>
    <w:p w:rsidR="006E1BDE" w:rsidRDefault="00244DD3">
      <w:pPr>
        <w:pStyle w:val="ListParagraph"/>
        <w:ind w:left="572" w:hanging="215"/>
        <w:rPr>
          <w:szCs w:val="22"/>
          <w:lang w:eastAsia="sv-SE"/>
        </w:rPr>
      </w:pPr>
      <w:r>
        <w:rPr>
          <w:szCs w:val="22"/>
          <w:lang w:eastAsia="sv-SE"/>
        </w:rPr>
        <w:t>Energy storage technologies</w:t>
      </w:r>
    </w:p>
    <w:p w:rsidR="006E1BDE" w:rsidRDefault="00244DD3">
      <w:pPr>
        <w:pStyle w:val="ListParagraph"/>
        <w:ind w:left="572" w:hanging="215"/>
        <w:rPr>
          <w:szCs w:val="22"/>
          <w:lang w:eastAsia="sv-SE"/>
        </w:rPr>
      </w:pPr>
      <w:r>
        <w:rPr>
          <w:szCs w:val="22"/>
          <w:lang w:eastAsia="sv-SE"/>
        </w:rPr>
        <w:t>Next generation solar cells</w:t>
      </w:r>
    </w:p>
    <w:p w:rsidR="006E1BDE" w:rsidRDefault="00244DD3">
      <w:pPr>
        <w:pStyle w:val="ListParagraph"/>
        <w:ind w:left="572" w:hanging="215"/>
        <w:rPr>
          <w:szCs w:val="22"/>
          <w:lang w:eastAsia="sv-SE"/>
        </w:rPr>
      </w:pPr>
      <w:r>
        <w:rPr>
          <w:szCs w:val="22"/>
          <w:lang w:eastAsia="sv-SE"/>
        </w:rPr>
        <w:t>Electric mobility</w:t>
      </w:r>
    </w:p>
    <w:p w:rsidR="006E1BDE" w:rsidRDefault="00244DD3">
      <w:pPr>
        <w:pStyle w:val="ListParagraph"/>
        <w:ind w:left="572" w:hanging="215"/>
        <w:rPr>
          <w:szCs w:val="22"/>
          <w:lang w:eastAsia="sv-SE"/>
        </w:rPr>
      </w:pPr>
      <w:r>
        <w:rPr>
          <w:szCs w:val="22"/>
          <w:lang w:eastAsia="sv-SE"/>
        </w:rPr>
        <w:t>Advanced biofuels</w:t>
      </w:r>
    </w:p>
    <w:p w:rsidR="006E1BDE" w:rsidRDefault="00244DD3">
      <w:pPr>
        <w:rPr>
          <w:szCs w:val="22"/>
          <w:lang w:eastAsia="sv-SE"/>
        </w:rPr>
      </w:pPr>
      <w:r>
        <w:rPr>
          <w:szCs w:val="22"/>
          <w:lang w:eastAsia="sv-SE"/>
        </w:rPr>
        <w:t>As a first action it was the agreement of the Directorat</w:t>
      </w:r>
      <w:r>
        <w:rPr>
          <w:szCs w:val="22"/>
          <w:lang w:eastAsia="sv-SE"/>
        </w:rPr>
        <w:t>e General for Energy and the Ministry of Petroleum and Natural Gas to organize jointly a conference on advanced biofuels on 6-8 March 2018 in New Delhi.</w:t>
      </w:r>
    </w:p>
    <w:p w:rsidR="006E1BDE" w:rsidRDefault="00244DD3">
      <w:pPr>
        <w:pStyle w:val="Heading2"/>
      </w:pPr>
      <w:bookmarkStart w:id="35" w:name="_Toc516598352"/>
      <w:r>
        <w:t>Cooperation on Science &amp; Technology</w:t>
      </w:r>
      <w:bookmarkEnd w:id="35"/>
    </w:p>
    <w:p w:rsidR="006E1BDE" w:rsidRDefault="00244DD3">
      <w:pPr>
        <w:rPr>
          <w:szCs w:val="22"/>
          <w:lang w:eastAsia="sv-SE"/>
        </w:rPr>
      </w:pPr>
      <w:r>
        <w:rPr>
          <w:szCs w:val="22"/>
          <w:lang w:eastAsia="sv-SE"/>
        </w:rPr>
        <w:t xml:space="preserve">The European Union and India have a cooperation for scientific and </w:t>
      </w:r>
      <w:r>
        <w:rPr>
          <w:szCs w:val="22"/>
          <w:lang w:eastAsia="sv-SE"/>
        </w:rPr>
        <w:t>technological cooperation for many years and such an agreement was signed on 09/08/2002</w:t>
      </w:r>
      <w:r>
        <w:rPr>
          <w:rStyle w:val="FootnoteReference"/>
          <w:szCs w:val="22"/>
          <w:lang w:eastAsia="sv-SE"/>
        </w:rPr>
        <w:footnoteReference w:id="62"/>
      </w:r>
      <w:r>
        <w:rPr>
          <w:szCs w:val="22"/>
          <w:lang w:eastAsia="sv-SE"/>
        </w:rPr>
        <w:t xml:space="preserve"> and renewed in 2007. The cooperation covered all the activities of research, technological development and demonstration. The cooperation was reviewed during the 7</w:t>
      </w:r>
      <w:r>
        <w:rPr>
          <w:szCs w:val="22"/>
          <w:vertAlign w:val="superscript"/>
          <w:lang w:eastAsia="sv-SE"/>
        </w:rPr>
        <w:t>th</w:t>
      </w:r>
      <w:r>
        <w:rPr>
          <w:szCs w:val="22"/>
          <w:lang w:eastAsia="sv-SE"/>
        </w:rPr>
        <w:t xml:space="preserve"> Framework Programme (see section 4.2.1 below)</w:t>
      </w:r>
      <w:r>
        <w:rPr>
          <w:rStyle w:val="FootnoteReference"/>
          <w:szCs w:val="22"/>
          <w:lang w:eastAsia="sv-SE"/>
        </w:rPr>
        <w:footnoteReference w:id="63"/>
      </w:r>
      <w:r>
        <w:rPr>
          <w:szCs w:val="22"/>
          <w:lang w:eastAsia="sv-SE"/>
        </w:rPr>
        <w:t xml:space="preserve"> by two independent experts in 2012. The review identified certain weaknesses in the agreement and put forward proposals how to overcome them.</w:t>
      </w:r>
      <w:r>
        <w:rPr>
          <w:szCs w:val="22"/>
        </w:rPr>
        <w:t xml:space="preserve"> </w:t>
      </w:r>
      <w:r>
        <w:rPr>
          <w:szCs w:val="22"/>
          <w:lang w:eastAsia="sv-SE"/>
        </w:rPr>
        <w:t>The Agreement signed in 2001 and renewed in 2007 regulates EU-Indi</w:t>
      </w:r>
      <w:r>
        <w:rPr>
          <w:szCs w:val="22"/>
          <w:lang w:eastAsia="sv-SE"/>
        </w:rPr>
        <w:t>a S&amp;T cooperation by means of 12 articles defining purpose, principles and instruments.</w:t>
      </w:r>
    </w:p>
    <w:p w:rsidR="006E1BDE" w:rsidRDefault="00244DD3">
      <w:pPr>
        <w:rPr>
          <w:szCs w:val="22"/>
          <w:lang w:eastAsia="sv-SE"/>
        </w:rPr>
      </w:pPr>
      <w:r>
        <w:rPr>
          <w:szCs w:val="22"/>
          <w:lang w:eastAsia="sv-SE"/>
        </w:rPr>
        <w:t>The main purpose is presented in Art. 1, which states that the EU and India ‘shall encourage and facilitate cooperative research and development activities in science a</w:t>
      </w:r>
      <w:r>
        <w:rPr>
          <w:szCs w:val="22"/>
          <w:lang w:eastAsia="sv-SE"/>
        </w:rPr>
        <w:t>nd technology fields of common interest….’. EU-India S&amp;T cooperation relies on 4 principles which refer to i) mutual benefits, ii) reciprocal access to cooperative activities, iii) exchange of information between partners, and iv) the protection of propert</w:t>
      </w:r>
      <w:r>
        <w:rPr>
          <w:szCs w:val="22"/>
          <w:lang w:eastAsia="sv-SE"/>
        </w:rPr>
        <w:t>y rights (Art. 3). The forms of cooperative activities are listed in Art. 5, and include: i) the participation of Indian research institutions and scholars in the projects, funded by the Framework Programme (FP)1, ii) joint projects, iii) the pooling of pr</w:t>
      </w:r>
      <w:r>
        <w:rPr>
          <w:szCs w:val="22"/>
          <w:lang w:eastAsia="sv-SE"/>
        </w:rPr>
        <w:t>ojects, and iv) the mobility of researchers and the exchange of information and equipment. The ‘executive agents’ of the Agreement are India’s Ministry of Science and Technology (Department of Science and Technology) and the European Commission of the Euro</w:t>
      </w:r>
      <w:r>
        <w:rPr>
          <w:szCs w:val="22"/>
          <w:lang w:eastAsia="sv-SE"/>
        </w:rPr>
        <w:t>pean Communities (Directorate General for Science, Research and Development). According to Art. 6, the ‘executive agents’ establish a bilateral Steering Committee, which is in charge of the coordination and facilitation of the cooperative activities, ident</w:t>
      </w:r>
      <w:r>
        <w:rPr>
          <w:szCs w:val="22"/>
          <w:lang w:eastAsia="sv-SE"/>
        </w:rPr>
        <w:t>ifying new priorities and recommending joint initiatives</w:t>
      </w:r>
      <w:r>
        <w:rPr>
          <w:rStyle w:val="FootnoteReference"/>
          <w:szCs w:val="22"/>
          <w:lang w:eastAsia="sv-SE"/>
        </w:rPr>
        <w:footnoteReference w:id="64"/>
      </w:r>
      <w:r>
        <w:rPr>
          <w:szCs w:val="22"/>
          <w:lang w:eastAsia="sv-SE"/>
        </w:rPr>
        <w:t>. The recommendations for improvements were along the following three areas:</w:t>
      </w:r>
    </w:p>
    <w:p w:rsidR="006E1BDE" w:rsidRDefault="00244DD3">
      <w:pPr>
        <w:numPr>
          <w:ilvl w:val="0"/>
          <w:numId w:val="12"/>
        </w:numPr>
        <w:tabs>
          <w:tab w:val="left" w:pos="709"/>
        </w:tabs>
        <w:spacing w:before="120"/>
        <w:rPr>
          <w:szCs w:val="22"/>
          <w:lang w:eastAsia="nl-BE"/>
        </w:rPr>
      </w:pPr>
      <w:r>
        <w:rPr>
          <w:szCs w:val="22"/>
        </w:rPr>
        <w:t>Improving</w:t>
      </w:r>
      <w:r>
        <w:rPr>
          <w:szCs w:val="22"/>
          <w:lang w:eastAsia="nl-BE"/>
        </w:rPr>
        <w:t xml:space="preserve"> EU-India mutual knowledge</w:t>
      </w:r>
    </w:p>
    <w:p w:rsidR="006E1BDE" w:rsidRDefault="00244DD3">
      <w:pPr>
        <w:numPr>
          <w:ilvl w:val="0"/>
          <w:numId w:val="12"/>
        </w:numPr>
        <w:tabs>
          <w:tab w:val="left" w:pos="709"/>
        </w:tabs>
        <w:spacing w:before="120"/>
        <w:rPr>
          <w:szCs w:val="22"/>
          <w:lang w:eastAsia="nl-BE"/>
        </w:rPr>
      </w:pPr>
      <w:r>
        <w:rPr>
          <w:szCs w:val="22"/>
        </w:rPr>
        <w:t>Addressing</w:t>
      </w:r>
      <w:r>
        <w:rPr>
          <w:szCs w:val="22"/>
          <w:lang w:eastAsia="nl-BE"/>
        </w:rPr>
        <w:t xml:space="preserve"> internal and context weaknesses of EU-India S&amp;T Cooperation Agreement, and,</w:t>
      </w:r>
    </w:p>
    <w:p w:rsidR="006E1BDE" w:rsidRDefault="00244DD3">
      <w:pPr>
        <w:numPr>
          <w:ilvl w:val="0"/>
          <w:numId w:val="12"/>
        </w:numPr>
        <w:tabs>
          <w:tab w:val="left" w:pos="709"/>
        </w:tabs>
        <w:spacing w:before="120"/>
        <w:rPr>
          <w:szCs w:val="22"/>
          <w:lang w:eastAsia="nl-BE"/>
        </w:rPr>
      </w:pPr>
      <w:r>
        <w:rPr>
          <w:szCs w:val="22"/>
        </w:rPr>
        <w:t>Overcoming</w:t>
      </w:r>
      <w:r>
        <w:rPr>
          <w:szCs w:val="22"/>
          <w:lang w:eastAsia="nl-BE"/>
        </w:rPr>
        <w:t xml:space="preserve"> asymmetric interests</w:t>
      </w:r>
    </w:p>
    <w:p w:rsidR="006E1BDE" w:rsidRDefault="00244DD3">
      <w:pPr>
        <w:rPr>
          <w:szCs w:val="22"/>
          <w:lang w:eastAsia="sv-SE"/>
        </w:rPr>
      </w:pPr>
      <w:r>
        <w:rPr>
          <w:szCs w:val="22"/>
        </w:rPr>
        <w:t xml:space="preserve">During the 14th Summit between the European Union and India that took place in New Delhi on 6 October 2017 both sides reconfirmed their commitment to strengthen the India-EU Strategic Partnership based on shared principles </w:t>
      </w:r>
      <w:r>
        <w:rPr>
          <w:szCs w:val="22"/>
        </w:rPr>
        <w:t>and values of democracy, freedom, rule of law and respect for human rights and territorial integrity of States. At the Summit</w:t>
      </w:r>
      <w:r>
        <w:rPr>
          <w:szCs w:val="22"/>
          <w:lang w:eastAsia="sv-SE"/>
        </w:rPr>
        <w:t xml:space="preserve"> the two sides agreed on a “Roadmap for EU-India Scientific and Technological Cooperation</w:t>
      </w:r>
      <w:r>
        <w:rPr>
          <w:rStyle w:val="FootnoteReference"/>
          <w:szCs w:val="22"/>
          <w:lang w:eastAsia="sv-SE"/>
        </w:rPr>
        <w:footnoteReference w:id="65"/>
      </w:r>
      <w:r>
        <w:rPr>
          <w:szCs w:val="22"/>
          <w:lang w:eastAsia="sv-SE"/>
        </w:rPr>
        <w:t>” that prioritized areas for cooperation.</w:t>
      </w:r>
    </w:p>
    <w:p w:rsidR="006E1BDE" w:rsidRDefault="00244DD3">
      <w:pPr>
        <w:rPr>
          <w:szCs w:val="22"/>
          <w:lang w:eastAsia="sv-SE"/>
        </w:rPr>
      </w:pPr>
      <w:r>
        <w:rPr>
          <w:szCs w:val="22"/>
          <w:lang w:eastAsia="sv-SE"/>
        </w:rPr>
        <w:t>India has also announced that their Science and Technology Programme, IMPRINT</w:t>
      </w:r>
      <w:r>
        <w:rPr>
          <w:rStyle w:val="FootnoteReference"/>
          <w:szCs w:val="22"/>
          <w:lang w:eastAsia="sv-SE"/>
        </w:rPr>
        <w:footnoteReference w:id="66"/>
      </w:r>
      <w:r>
        <w:rPr>
          <w:szCs w:val="22"/>
          <w:lang w:eastAsia="sv-SE"/>
        </w:rPr>
        <w:t>, is also open to EU researcher participation provided they come with their own funding.</w:t>
      </w:r>
    </w:p>
    <w:p w:rsidR="006E1BDE" w:rsidRDefault="00244DD3">
      <w:pPr>
        <w:rPr>
          <w:szCs w:val="22"/>
          <w:lang w:eastAsia="sv-SE"/>
        </w:rPr>
      </w:pPr>
      <w:r>
        <w:rPr>
          <w:szCs w:val="22"/>
          <w:lang w:eastAsia="sv-SE"/>
        </w:rPr>
        <w:t>Finally, in order to facilitate cooperation and access to EU funded programmes the EU-IN</w:t>
      </w:r>
      <w:r>
        <w:rPr>
          <w:szCs w:val="22"/>
          <w:lang w:eastAsia="sv-SE"/>
        </w:rPr>
        <w:t>DIA S&amp;T Window Cooperation</w:t>
      </w:r>
      <w:r>
        <w:rPr>
          <w:rStyle w:val="FootnoteReference"/>
          <w:szCs w:val="22"/>
          <w:lang w:eastAsia="sv-SE"/>
        </w:rPr>
        <w:footnoteReference w:id="67"/>
      </w:r>
      <w:r>
        <w:rPr>
          <w:szCs w:val="22"/>
          <w:lang w:eastAsia="sv-SE"/>
        </w:rPr>
        <w:t xml:space="preserve"> has been set up. This is an Initiative to help parties access the most relevant information for EU-INDIA S&amp;T Cooperation.</w:t>
      </w:r>
    </w:p>
    <w:p w:rsidR="006E1BDE" w:rsidRDefault="00244DD3">
      <w:pPr>
        <w:pStyle w:val="Heading2"/>
      </w:pPr>
      <w:bookmarkStart w:id="36" w:name="_Toc516598353"/>
      <w:r>
        <w:t>Trade issues and opportunities</w:t>
      </w:r>
      <w:bookmarkEnd w:id="36"/>
    </w:p>
    <w:p w:rsidR="006E1BDE" w:rsidRDefault="00244DD3">
      <w:pPr>
        <w:rPr>
          <w:lang w:eastAsia="sv-SE"/>
        </w:rPr>
      </w:pPr>
      <w:r>
        <w:rPr>
          <w:lang w:eastAsia="sv-SE"/>
        </w:rPr>
        <w:t xml:space="preserve">With the growing importance of biofuels in the EU as well as India, there </w:t>
      </w:r>
      <w:r>
        <w:rPr>
          <w:lang w:eastAsia="sv-SE"/>
        </w:rPr>
        <w:t>are increasing trade opportunities. For the foreseeable future, it is unlikely that there would be an increase in exports from the EU to India. Indeed, most biofuels produced in the EU are for domestic consumption. At the same time, India is not a large ex</w:t>
      </w:r>
      <w:r>
        <w:rPr>
          <w:lang w:eastAsia="sv-SE"/>
        </w:rPr>
        <w:t>porter of biofuels to the EU. Nevertheless, in 2016 6% of biodiesel imports originated in India, making India the fifth largest exporter of biodiesel to the EU.</w:t>
      </w:r>
      <w:r>
        <w:rPr>
          <w:rStyle w:val="FootnoteReference"/>
          <w:lang w:eastAsia="sv-SE"/>
        </w:rPr>
        <w:footnoteReference w:id="68"/>
      </w:r>
      <w:r>
        <w:rPr>
          <w:lang w:eastAsia="sv-SE"/>
        </w:rPr>
        <w:t xml:space="preserve"> There are therefore opportunities for increased trade in biofuels between India and the EU. </w:t>
      </w:r>
    </w:p>
    <w:p w:rsidR="006E1BDE" w:rsidRDefault="00244DD3">
      <w:pPr>
        <w:rPr>
          <w:lang w:eastAsia="sv-SE"/>
        </w:rPr>
      </w:pPr>
      <w:r>
        <w:rPr>
          <w:lang w:eastAsia="sv-SE"/>
        </w:rPr>
        <w:t>C</w:t>
      </w:r>
      <w:r>
        <w:rPr>
          <w:lang w:eastAsia="sv-SE"/>
        </w:rPr>
        <w:t>urrently, however, the bulk of trade in biofuels concerns first generation biofuels, rather than advanced biofuels. There is an opportunity for change in this respect. The EU is currently the second market for advanced biofuels, closely following the US. T</w:t>
      </w:r>
      <w:r>
        <w:rPr>
          <w:lang w:eastAsia="sv-SE"/>
        </w:rPr>
        <w:t>hese markets have been growing and are forecast to continue to grow. Importantly, the highest growth is forecast to take place in Asia Pacific, including in India. This raises increased trade and investment opportunities in the field of advanced biofuels b</w:t>
      </w:r>
      <w:r>
        <w:rPr>
          <w:lang w:eastAsia="sv-SE"/>
        </w:rPr>
        <w:t>etween the EU and India.</w:t>
      </w:r>
    </w:p>
    <w:p w:rsidR="006E1BDE" w:rsidRDefault="00244DD3">
      <w:pPr>
        <w:rPr>
          <w:lang w:eastAsia="sv-SE"/>
        </w:rPr>
      </w:pPr>
      <w:r>
        <w:rPr>
          <w:lang w:eastAsia="sv-SE"/>
        </w:rPr>
        <w:t>Despite a potential increase in trade and investment opportunities, there is also a potential for increased barriers and other issues. Currently, some of these are more likely to be faced by first generation biofuels. For instance,</w:t>
      </w:r>
      <w:r>
        <w:rPr>
          <w:lang w:eastAsia="sv-SE"/>
        </w:rPr>
        <w:t xml:space="preserve"> as described above, biofuels must meet sustainability criteria in the EU to be counted towards renewable energy targets. At the same time, there is a cap on the use of first generation biofuels in the EU. These are potential barriers to trade, which are n</w:t>
      </w:r>
      <w:r>
        <w:rPr>
          <w:lang w:eastAsia="sv-SE"/>
        </w:rPr>
        <w:t>ot faced by advanced biofuels. For instance, whereas there is a cap on the use of first generation biofuels, advanced biofuels have a target and are double counted.</w:t>
      </w:r>
    </w:p>
    <w:p w:rsidR="006E1BDE" w:rsidRDefault="00244DD3">
      <w:pPr>
        <w:rPr>
          <w:lang w:eastAsia="sv-SE"/>
        </w:rPr>
      </w:pPr>
      <w:r>
        <w:rPr>
          <w:lang w:eastAsia="sv-SE"/>
        </w:rPr>
        <w:t>With the current focus of the EU on advanced biofuels, and the growing focus on advanced bi</w:t>
      </w:r>
      <w:r>
        <w:rPr>
          <w:lang w:eastAsia="sv-SE"/>
        </w:rPr>
        <w:t>ofuels in India, trade in advanced biofuels has a potentially brighter future ahead than trade in first generation biofuels.</w:t>
      </w:r>
    </w:p>
    <w:p w:rsidR="006E1BDE" w:rsidRDefault="006E1BDE">
      <w:pPr>
        <w:rPr>
          <w:lang w:eastAsia="sv-SE"/>
        </w:rPr>
      </w:pPr>
    </w:p>
    <w:p w:rsidR="006E1BDE" w:rsidRDefault="00244DD3">
      <w:pPr>
        <w:pStyle w:val="Heading1"/>
        <w:rPr>
          <w:sz w:val="22"/>
          <w:szCs w:val="22"/>
        </w:rPr>
      </w:pPr>
      <w:bookmarkStart w:id="37" w:name="_Toc516598354"/>
      <w:r>
        <w:rPr>
          <w:sz w:val="22"/>
          <w:szCs w:val="22"/>
        </w:rPr>
        <w:t>Cost of biofuels</w:t>
      </w:r>
      <w:bookmarkEnd w:id="37"/>
    </w:p>
    <w:p w:rsidR="006E1BDE" w:rsidRDefault="00244DD3">
      <w:pPr>
        <w:rPr>
          <w:szCs w:val="22"/>
        </w:rPr>
      </w:pPr>
      <w:r>
        <w:rPr>
          <w:szCs w:val="22"/>
        </w:rPr>
        <w:t>Producing a full report on cost of biofuels is a lengthy process with dubious results as the technology developer</w:t>
      </w:r>
      <w:r>
        <w:rPr>
          <w:szCs w:val="22"/>
        </w:rPr>
        <w:t>s are reluctant to provide information on their cost structures and estimates. The approach selected by the Sub Group on Advanced Biofuels was instead to develop a base of estimated production cost ranges for most of the different pathways to the group, an</w:t>
      </w:r>
      <w:r>
        <w:rPr>
          <w:szCs w:val="22"/>
        </w:rPr>
        <w:t xml:space="preserve">d then to present it to its members inviting them to comment. There were several interactions with the members of the Sub Group on Advanced biofuels and the final result presents first-hand views from the technology developers and industry stakeholders. </w:t>
      </w:r>
    </w:p>
    <w:p w:rsidR="006E1BDE" w:rsidRDefault="00244DD3">
      <w:pPr>
        <w:rPr>
          <w:szCs w:val="22"/>
        </w:rPr>
      </w:pPr>
      <w:r>
        <w:rPr>
          <w:szCs w:val="22"/>
        </w:rPr>
        <w:t>F</w:t>
      </w:r>
      <w:r>
        <w:rPr>
          <w:szCs w:val="22"/>
        </w:rPr>
        <w:t>igure 2</w:t>
      </w:r>
      <w:r>
        <w:rPr>
          <w:rStyle w:val="FootnoteReference"/>
          <w:szCs w:val="22"/>
        </w:rPr>
        <w:footnoteReference w:id="69"/>
      </w:r>
      <w:r>
        <w:rPr>
          <w:szCs w:val="22"/>
        </w:rPr>
        <w:t xml:space="preserve"> shows the summary of the analysis. The figure shows ranges for the cost of production of the biofuels compared to those of the fossil fuels. The red lines indicate the data found in the literature from various published work while the green lines </w:t>
      </w:r>
      <w:r>
        <w:rPr>
          <w:szCs w:val="22"/>
        </w:rPr>
        <w:t>indicate the cost of production of biofuels adjusted by the members of the Sub Group on Advanced Biofuels. The figure also shows the typical price for lignocellulosic biomass (in the range of 10-20 €/MWh). Table 3</w:t>
      </w:r>
      <w:r>
        <w:rPr>
          <w:rStyle w:val="FootnoteReference"/>
          <w:szCs w:val="22"/>
        </w:rPr>
        <w:footnoteReference w:id="70"/>
      </w:r>
      <w:r>
        <w:rPr>
          <w:szCs w:val="22"/>
        </w:rPr>
        <w:t xml:space="preserve"> below summarises data per value chain and</w:t>
      </w:r>
      <w:r>
        <w:rPr>
          <w:szCs w:val="22"/>
        </w:rPr>
        <w:t xml:space="preserve"> cost of feedstock.</w:t>
      </w:r>
    </w:p>
    <w:p w:rsidR="006E1BDE" w:rsidRDefault="00244DD3">
      <w:pPr>
        <w:pStyle w:val="Caption"/>
        <w:rPr>
          <w:szCs w:val="22"/>
        </w:rPr>
      </w:pPr>
      <w:r>
        <w:rPr>
          <w:szCs w:val="22"/>
        </w:rPr>
        <w:t>Figure 2: Summary of production costs</w:t>
      </w:r>
    </w:p>
    <w:p w:rsidR="006E1BDE" w:rsidRDefault="00244DD3">
      <w:pPr>
        <w:jc w:val="center"/>
        <w:rPr>
          <w:szCs w:val="22"/>
        </w:rPr>
      </w:pPr>
      <w:r>
        <w:rPr>
          <w:noProof/>
          <w:szCs w:val="22"/>
          <w:lang w:eastAsia="en-GB"/>
        </w:rPr>
        <w:drawing>
          <wp:inline distT="0" distB="0" distL="0" distR="0">
            <wp:extent cx="5202000" cy="4176000"/>
            <wp:effectExtent l="0" t="0" r="0" b="0"/>
            <wp:docPr id="10"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02000" cy="4176000"/>
                    </a:xfrm>
                    <a:prstGeom prst="rect">
                      <a:avLst/>
                    </a:prstGeom>
                    <a:noFill/>
                  </pic:spPr>
                </pic:pic>
              </a:graphicData>
            </a:graphic>
          </wp:inline>
        </w:drawing>
      </w:r>
    </w:p>
    <w:p w:rsidR="006E1BDE" w:rsidRDefault="00244DD3">
      <w:pPr>
        <w:pStyle w:val="Caption"/>
        <w:rPr>
          <w:szCs w:val="22"/>
        </w:rPr>
      </w:pPr>
      <w:r>
        <w:rPr>
          <w:szCs w:val="22"/>
        </w:rPr>
        <w:t>Table 3: Summary of Biofuels Production Costs</w:t>
      </w:r>
    </w:p>
    <w:tbl>
      <w:tblPr>
        <w:tblStyle w:val="GridTable5Dark-Accent11"/>
        <w:tblW w:w="0" w:type="auto"/>
        <w:jc w:val="center"/>
        <w:tblLook w:val="04A0" w:firstRow="1" w:lastRow="0" w:firstColumn="1" w:lastColumn="0" w:noHBand="0" w:noVBand="1"/>
      </w:tblPr>
      <w:tblGrid>
        <w:gridCol w:w="3184"/>
        <w:gridCol w:w="1777"/>
        <w:gridCol w:w="1668"/>
        <w:gridCol w:w="1668"/>
      </w:tblGrid>
      <w:tr w:rsidR="006E1BDE" w:rsidTr="006E1B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keepLines/>
              <w:jc w:val="center"/>
              <w:rPr>
                <w:rFonts w:cs="Times New Roman"/>
                <w:b w:val="0"/>
              </w:rPr>
            </w:pPr>
            <w:r>
              <w:rPr>
                <w:rFonts w:cs="Times New Roman"/>
              </w:rPr>
              <w:t>Biofuel type production costs</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rPr>
              <w:t>Feedstock price EUR/MWh</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rPr>
              <w:t xml:space="preserve">Production cost range </w:t>
            </w:r>
            <w:r>
              <w:rPr>
                <w:rFonts w:cs="Times New Roman"/>
              </w:rPr>
              <w:br/>
              <w:t>EUR/MWh</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rFonts w:cs="Times New Roman"/>
                <w:b w:val="0"/>
              </w:rPr>
            </w:pPr>
            <w:r>
              <w:rPr>
                <w:rFonts w:cs="Times New Roman"/>
              </w:rPr>
              <w:t xml:space="preserve">Production cost range </w:t>
            </w:r>
            <w:r>
              <w:rPr>
                <w:rFonts w:cs="Times New Roman"/>
              </w:rPr>
              <w:br/>
              <w:t>EUR/GJ</w:t>
            </w:r>
          </w:p>
        </w:tc>
      </w:tr>
      <w:tr w:rsidR="006E1BDE" w:rsidTr="006E1BD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Aviation HEFA</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40-60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80-90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22-25</w:t>
            </w:r>
          </w:p>
        </w:tc>
      </w:tr>
      <w:tr w:rsidR="006E1BDE" w:rsidTr="006E1BDE">
        <w:trPr>
          <w:trHeight w:val="227"/>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Aviation sugar fermentation or FT synthesis</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Sugar: 65-85</w:t>
            </w:r>
          </w:p>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FT:  10-20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110-140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31-39</w:t>
            </w:r>
          </w:p>
        </w:tc>
      </w:tr>
      <w:tr w:rsidR="006E1BDE" w:rsidTr="006E1BD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rPr>
                <w:rFonts w:cs="Times New Roman"/>
              </w:rPr>
            </w:pPr>
            <w:r>
              <w:rPr>
                <w:rFonts w:cs="Times New Roman"/>
              </w:rPr>
              <w:t>HVO liquids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40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50-70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14-19</w:t>
            </w:r>
          </w:p>
        </w:tc>
      </w:tr>
      <w:tr w:rsidR="006E1BDE" w:rsidTr="006E1BDE">
        <w:trPr>
          <w:trHeight w:val="113"/>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rPr>
                <w:rFonts w:cs="Times New Roman"/>
              </w:rPr>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60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70-90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19-25</w:t>
            </w:r>
          </w:p>
        </w:tc>
      </w:tr>
      <w:tr w:rsidR="006E1BDE" w:rsidTr="006E1BDE">
        <w:trPr>
          <w:cnfStyle w:val="000000100000" w:firstRow="0" w:lastRow="0" w:firstColumn="0" w:lastColumn="0" w:oddVBand="0" w:evenVBand="0" w:oddHBand="1" w:evenHBand="0"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rPr>
                <w:rFonts w:cs="Times New Roman"/>
              </w:rPr>
            </w:pPr>
            <w:r>
              <w:rPr>
                <w:rFonts w:cs="Times New Roman"/>
              </w:rPr>
              <w:t>UCOME liquids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55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67-68</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19</w:t>
            </w:r>
          </w:p>
        </w:tc>
      </w:tr>
      <w:tr w:rsidR="006E1BDE" w:rsidTr="006E1BDE">
        <w:trPr>
          <w:trHeight w:val="282"/>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rPr>
                <w:rFonts w:cs="Times New Roman"/>
              </w:rPr>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75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93-104</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26-29</w:t>
            </w:r>
          </w:p>
        </w:tc>
      </w:tr>
      <w:tr w:rsidR="006E1BDE" w:rsidTr="006E1BD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Biomethane from biogas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0-80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40-120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11-34</w:t>
            </w:r>
          </w:p>
        </w:tc>
      </w:tr>
      <w:tr w:rsidR="006E1BDE" w:rsidTr="006E1BDE">
        <w:trPr>
          <w:trHeight w:val="227"/>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keepNext/>
              <w:keepLines/>
              <w:jc w:val="center"/>
              <w:rPr>
                <w:rFonts w:cs="Times New Roman"/>
              </w:rPr>
            </w:pPr>
            <w:r>
              <w:rPr>
                <w:rFonts w:cs="Times New Roman"/>
              </w:rPr>
              <w:t>Cellulosic ethanol</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13</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103</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29</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keepLines/>
              <w:jc w:val="center"/>
              <w:rPr>
                <w:rFonts w:cs="Times New Roman"/>
              </w:rPr>
            </w:pP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85</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24</w:t>
            </w:r>
          </w:p>
        </w:tc>
      </w:tr>
      <w:tr w:rsidR="006E1BDE" w:rsidTr="006E1BDE">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Biomethane &amp; ethanol from waste</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(x)</w:t>
            </w:r>
            <w:r>
              <w:rPr>
                <w:rStyle w:val="FootnoteReference"/>
                <w:rFonts w:cs="Times New Roman"/>
              </w:rPr>
              <w:footnoteReference w:id="71"/>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t>67-87</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19-24</w:t>
            </w:r>
          </w:p>
        </w:tc>
      </w:tr>
      <w:tr w:rsidR="006E1BDE" w:rsidTr="006E1BD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rPr>
                <w:rFonts w:cs="Times New Roman"/>
              </w:rPr>
            </w:pPr>
            <w:r>
              <w:rPr>
                <w:rFonts w:cs="Times New Roman"/>
              </w:rPr>
              <w:t>FT liquids from wood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105-139</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29-35</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rPr>
                <w:rFonts w:cs="Times New Roman"/>
              </w:rPr>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10-15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90-105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25-29</w:t>
            </w:r>
          </w:p>
        </w:tc>
      </w:tr>
      <w:tr w:rsidR="006E1BDE" w:rsidTr="006E1BD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rPr>
                <w:rFonts w:cs="Times New Roman"/>
              </w:rPr>
            </w:pPr>
            <w:r>
              <w:rPr>
                <w:rFonts w:cs="Times New Roman"/>
              </w:rPr>
              <w:t>Biomethane, methanol or DME (Dimethyl Ether) from wood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71-91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20-25</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rPr>
                <w:rFonts w:cs="Times New Roman"/>
              </w:rPr>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10-15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56-75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16-21</w:t>
            </w:r>
          </w:p>
        </w:tc>
      </w:tr>
      <w:tr w:rsidR="006E1BDE" w:rsidTr="006E1BDE">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Pyrolysis bio-oil co-processing</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10-20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58-104</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cs="Times New Roman"/>
              </w:rPr>
            </w:pPr>
            <w:r>
              <w:rPr>
                <w:rFonts w:cs="Times New Roman"/>
              </w:rPr>
              <w:t>14-27</w:t>
            </w:r>
          </w:p>
        </w:tc>
      </w:tr>
      <w:tr w:rsidR="006E1BDE" w:rsidTr="006E1BDE">
        <w:trPr>
          <w:trHeight w:val="51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rFonts w:cs="Times New Roman"/>
              </w:rPr>
            </w:pPr>
            <w:r>
              <w:rPr>
                <w:rFonts w:cs="Times New Roman"/>
              </w:rPr>
              <w:t>Pyrolysis bio-oil stand alone</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10-20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83-118</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cs="Times New Roman"/>
              </w:rPr>
            </w:pPr>
            <w:r>
              <w:rPr>
                <w:rFonts w:cs="Times New Roman"/>
              </w:rPr>
              <w:t>23-33</w:t>
            </w:r>
          </w:p>
        </w:tc>
      </w:tr>
    </w:tbl>
    <w:p w:rsidR="006E1BDE" w:rsidRDefault="006E1BDE">
      <w:pPr>
        <w:rPr>
          <w:i/>
          <w:szCs w:val="22"/>
        </w:rPr>
      </w:pPr>
    </w:p>
    <w:p w:rsidR="006E1BDE" w:rsidRDefault="00244DD3">
      <w:pPr>
        <w:rPr>
          <w:i/>
          <w:szCs w:val="22"/>
        </w:rPr>
      </w:pPr>
      <w:r>
        <w:rPr>
          <w:i/>
          <w:szCs w:val="22"/>
        </w:rPr>
        <w:t>Key Messages on the Cost of production of biofuels:</w:t>
      </w:r>
    </w:p>
    <w:p w:rsidR="006E1BDE" w:rsidRDefault="00244DD3">
      <w:pPr>
        <w:pStyle w:val="ListParagraph"/>
        <w:ind w:left="572" w:hanging="215"/>
        <w:rPr>
          <w:szCs w:val="22"/>
        </w:rPr>
      </w:pPr>
      <w:r>
        <w:rPr>
          <w:szCs w:val="22"/>
        </w:rPr>
        <w:t>Biofuels are, and with rare exceptions, will remain more expensive than fossil fuels unless the cost of oil will increase significantly and/or the cost o</w:t>
      </w:r>
      <w:r>
        <w:rPr>
          <w:szCs w:val="22"/>
        </w:rPr>
        <w:t>f climate change mitigation will be taken into account in estimating the cost of fossil fuels.</w:t>
      </w:r>
    </w:p>
    <w:p w:rsidR="006E1BDE" w:rsidRDefault="00244DD3">
      <w:pPr>
        <w:pStyle w:val="ListParagraph"/>
        <w:ind w:left="572" w:hanging="215"/>
        <w:rPr>
          <w:szCs w:val="22"/>
        </w:rPr>
      </w:pPr>
      <w:r>
        <w:rPr>
          <w:szCs w:val="22"/>
        </w:rPr>
        <w:t xml:space="preserve">The cost of the biomass feedstock plays an important role in the overall production cost of the biofuels and unless the biomass feedstock has a zero or negative </w:t>
      </w:r>
      <w:r>
        <w:rPr>
          <w:szCs w:val="22"/>
        </w:rPr>
        <w:t>cost (as in the case of municipal solid waste) at present there are no possibilities for competitive cost production.</w:t>
      </w:r>
    </w:p>
    <w:p w:rsidR="006E1BDE" w:rsidRDefault="00244DD3">
      <w:pPr>
        <w:pStyle w:val="ListParagraph"/>
        <w:ind w:left="572" w:hanging="215"/>
        <w:rPr>
          <w:szCs w:val="22"/>
        </w:rPr>
      </w:pPr>
      <w:r>
        <w:rPr>
          <w:szCs w:val="22"/>
        </w:rPr>
        <w:t>Biomethane produced from biogas generated via anaerobic digestion of waste streams is commercially available at present and has the lowest</w:t>
      </w:r>
      <w:r>
        <w:rPr>
          <w:szCs w:val="22"/>
        </w:rPr>
        <w:t xml:space="preserve"> cost at about 40-50 EUR/MWh. In certain niche markets it can be competitive to fossil fuels.</w:t>
      </w:r>
    </w:p>
    <w:p w:rsidR="006E1BDE" w:rsidRDefault="00244DD3">
      <w:pPr>
        <w:pStyle w:val="ListParagraph"/>
        <w:ind w:left="572" w:hanging="215"/>
        <w:rPr>
          <w:szCs w:val="22"/>
        </w:rPr>
      </w:pPr>
      <w:r>
        <w:rPr>
          <w:szCs w:val="22"/>
        </w:rPr>
        <w:t>Hydrotreated Vegetable Oils (HVO) is commercially available at present and has a production cost in the range of 50-90 EUR/MWh subject to the cost of the feedstoc</w:t>
      </w:r>
      <w:r>
        <w:rPr>
          <w:szCs w:val="22"/>
        </w:rPr>
        <w:t>k. HVO used in aviation can be produced at a cost of 80-90 EUR/MWh and it is the only biofuel at present that has been produced and used for commercial flights.</w:t>
      </w:r>
    </w:p>
    <w:p w:rsidR="006E1BDE" w:rsidRDefault="00244DD3">
      <w:pPr>
        <w:pStyle w:val="ListParagraph"/>
        <w:ind w:left="572" w:hanging="215"/>
        <w:rPr>
          <w:szCs w:val="22"/>
        </w:rPr>
      </w:pPr>
      <w:r>
        <w:rPr>
          <w:szCs w:val="22"/>
        </w:rPr>
        <w:t>Cellulosic ethanol is at the verge of commercialisation with several industrial scale demonstra</w:t>
      </w:r>
      <w:r>
        <w:rPr>
          <w:szCs w:val="22"/>
        </w:rPr>
        <w:t>tion plants currently in operation or commissioning. The production cost of cellulosic ethanol is estimated in the range of 90-110 EUR/MWh subject to the feedstock cost.</w:t>
      </w:r>
    </w:p>
    <w:p w:rsidR="006E1BDE" w:rsidRDefault="00244DD3">
      <w:pPr>
        <w:pStyle w:val="ListParagraph"/>
        <w:ind w:left="572" w:hanging="215"/>
        <w:rPr>
          <w:i/>
          <w:szCs w:val="22"/>
        </w:rPr>
      </w:pPr>
      <w:r>
        <w:rPr>
          <w:szCs w:val="22"/>
        </w:rPr>
        <w:t>All other biofuels and value chains are still in the large scale demonstration plant s</w:t>
      </w:r>
      <w:r>
        <w:rPr>
          <w:szCs w:val="22"/>
        </w:rPr>
        <w:t>tage and their production costs can vary significantly, however, they are estimated in the range of 80-140 EUR/MWh.</w:t>
      </w:r>
    </w:p>
    <w:p w:rsidR="006E1BDE" w:rsidRDefault="00244DD3">
      <w:pPr>
        <w:pStyle w:val="Heading1"/>
        <w:rPr>
          <w:sz w:val="22"/>
          <w:szCs w:val="22"/>
        </w:rPr>
      </w:pPr>
      <w:bookmarkStart w:id="38" w:name="_Toc516598355"/>
      <w:r>
        <w:rPr>
          <w:sz w:val="22"/>
          <w:szCs w:val="22"/>
        </w:rPr>
        <w:t>Technology availability and readiness for advanced biofuels</w:t>
      </w:r>
      <w:bookmarkEnd w:id="38"/>
      <w:r>
        <w:rPr>
          <w:sz w:val="22"/>
          <w:szCs w:val="22"/>
        </w:rPr>
        <w:t xml:space="preserve"> </w:t>
      </w:r>
    </w:p>
    <w:p w:rsidR="006E1BDE" w:rsidRDefault="00244DD3">
      <w:pPr>
        <w:pStyle w:val="Heading2"/>
      </w:pPr>
      <w:bookmarkStart w:id="39" w:name="_Toc516598356"/>
      <w:r>
        <w:t>Introduction</w:t>
      </w:r>
      <w:bookmarkEnd w:id="39"/>
    </w:p>
    <w:p w:rsidR="006E1BDE" w:rsidRDefault="00244DD3">
      <w:pPr>
        <w:rPr>
          <w:szCs w:val="22"/>
          <w:lang w:eastAsia="sv-SE"/>
        </w:rPr>
      </w:pPr>
      <w:r>
        <w:rPr>
          <w:szCs w:val="22"/>
          <w:lang w:eastAsia="sv-SE"/>
        </w:rPr>
        <w:t xml:space="preserve">This section of the report aims at providing the reader with a </w:t>
      </w:r>
      <w:r>
        <w:rPr>
          <w:szCs w:val="22"/>
          <w:lang w:eastAsia="sv-SE"/>
        </w:rPr>
        <w:t>focused description of advanced biofuels technologies, technology developers and plants at high technology readiness level for advanced biofuels both in the EU and India. A detailed description of the available technologies in the EU and India can be found</w:t>
      </w:r>
      <w:r>
        <w:rPr>
          <w:szCs w:val="22"/>
          <w:lang w:eastAsia="sv-SE"/>
        </w:rPr>
        <w:t xml:space="preserve"> in Annex I of this report.</w:t>
      </w:r>
    </w:p>
    <w:p w:rsidR="006E1BDE" w:rsidRDefault="00244DD3">
      <w:pPr>
        <w:rPr>
          <w:szCs w:val="22"/>
          <w:lang w:eastAsia="sv-SE"/>
        </w:rPr>
      </w:pPr>
      <w:r>
        <w:rPr>
          <w:szCs w:val="22"/>
          <w:lang w:eastAsia="sv-SE"/>
        </w:rPr>
        <w:t xml:space="preserve">There are numerous technologies, value chains and possible applications making this area an exciting one. Some of the value chains are ready to be commercialized and few are actually commercial; others are at </w:t>
      </w:r>
      <w:r>
        <w:rPr>
          <w:i/>
          <w:szCs w:val="22"/>
          <w:lang w:eastAsia="sv-SE"/>
        </w:rPr>
        <w:t>first-of-a-kind</w:t>
      </w:r>
      <w:r>
        <w:rPr>
          <w:szCs w:val="22"/>
          <w:lang w:eastAsia="sv-SE"/>
        </w:rPr>
        <w:t xml:space="preserve"> (FO</w:t>
      </w:r>
      <w:r>
        <w:rPr>
          <w:szCs w:val="22"/>
          <w:lang w:eastAsia="sv-SE"/>
        </w:rPr>
        <w:t>AK) plant level ready to cross the valley of death and reach market deployment while others still have to reach the FOAK level before deployment can be considered.</w:t>
      </w:r>
    </w:p>
    <w:p w:rsidR="006E1BDE" w:rsidRDefault="00244DD3">
      <w:pPr>
        <w:rPr>
          <w:szCs w:val="22"/>
          <w:lang w:eastAsia="sv-SE"/>
        </w:rPr>
      </w:pPr>
      <w:r>
        <w:rPr>
          <w:szCs w:val="22"/>
          <w:lang w:eastAsia="sv-SE"/>
        </w:rPr>
        <w:t>Since all use various types of biomass resources, have different production capacities and p</w:t>
      </w:r>
      <w:r>
        <w:rPr>
          <w:szCs w:val="22"/>
          <w:lang w:eastAsia="sv-SE"/>
        </w:rPr>
        <w:t>roduce different types of biofuels for different applications it is impossible to pick winners. Actually this would be a mistake since the EU and India will need all sustainable advanced biofuels that can be produced.</w:t>
      </w:r>
    </w:p>
    <w:p w:rsidR="006E1BDE" w:rsidRDefault="00244DD3">
      <w:pPr>
        <w:pStyle w:val="Heading2"/>
      </w:pPr>
      <w:bookmarkStart w:id="40" w:name="_Toc516598357"/>
      <w:r>
        <w:t>Thermal Processing</w:t>
      </w:r>
      <w:bookmarkEnd w:id="40"/>
    </w:p>
    <w:p w:rsidR="006E1BDE" w:rsidRDefault="00244DD3">
      <w:pPr>
        <w:pStyle w:val="Heading3"/>
        <w:rPr>
          <w:lang w:eastAsia="sv-SE"/>
        </w:rPr>
      </w:pPr>
      <w:bookmarkStart w:id="41" w:name="_Toc516598358"/>
      <w:r>
        <w:rPr>
          <w:szCs w:val="22"/>
        </w:rPr>
        <w:t>Gasification</w:t>
      </w:r>
      <w:bookmarkEnd w:id="41"/>
    </w:p>
    <w:p w:rsidR="006E1BDE" w:rsidRDefault="00244DD3">
      <w:pPr>
        <w:rPr>
          <w:lang w:eastAsia="sv-SE"/>
        </w:rPr>
      </w:pPr>
      <w:r>
        <w:rPr>
          <w:lang w:eastAsia="sv-SE"/>
        </w:rPr>
        <w:t>Gasifi</w:t>
      </w:r>
      <w:r>
        <w:rPr>
          <w:lang w:eastAsia="sv-SE"/>
        </w:rPr>
        <w:t xml:space="preserve">cation has a long history in the EU and several technology developers have been trying to </w:t>
      </w:r>
      <w:r>
        <w:rPr>
          <w:szCs w:val="22"/>
          <w:lang w:eastAsia="sv-SE"/>
        </w:rPr>
        <w:t>develop</w:t>
      </w:r>
      <w:r>
        <w:rPr>
          <w:lang w:eastAsia="sv-SE"/>
        </w:rPr>
        <w:t xml:space="preserve"> gasification platforms from the very small systems to the large scale commercial plants. The success has been limited in the small capacity based on downdraft</w:t>
      </w:r>
      <w:r>
        <w:rPr>
          <w:lang w:eastAsia="sv-SE"/>
        </w:rPr>
        <w:t xml:space="preserve"> gasifiers destined for power and heat applications while better achievements have been attained in the large scale. European technology developers have gained significant experience from running large scale demonstration facilities however the market and </w:t>
      </w:r>
      <w:r>
        <w:rPr>
          <w:lang w:eastAsia="sv-SE"/>
        </w:rPr>
        <w:t>policy conditions have been a barrier to the further deployment of gasification technologies for advanced biofuels. Although at present there are no large scale commercial facilities operating on gasification for advanced biofuels few projects are in the p</w:t>
      </w:r>
      <w:r>
        <w:rPr>
          <w:lang w:eastAsia="sv-SE"/>
        </w:rPr>
        <w:t>lanning phase and it is expected that their construction could start soon after the RED II has been adopted and the various Members States of the EU have enacted appropriate legislation in their national legislation.</w:t>
      </w:r>
    </w:p>
    <w:p w:rsidR="006E1BDE" w:rsidRDefault="00244DD3">
      <w:pPr>
        <w:rPr>
          <w:lang w:eastAsia="sv-SE"/>
        </w:rPr>
      </w:pPr>
      <w:r>
        <w:rPr>
          <w:lang w:eastAsia="sv-SE"/>
        </w:rPr>
        <w:t>In India for the moment there are no ga</w:t>
      </w:r>
      <w:r>
        <w:rPr>
          <w:lang w:eastAsia="sv-SE"/>
        </w:rPr>
        <w:t xml:space="preserve">sification plants for the production of advanced biofuels, </w:t>
      </w:r>
      <w:r>
        <w:rPr>
          <w:szCs w:val="22"/>
          <w:lang w:eastAsia="sv-SE"/>
        </w:rPr>
        <w:t>although</w:t>
      </w:r>
      <w:r>
        <w:rPr>
          <w:lang w:eastAsia="sv-SE"/>
        </w:rPr>
        <w:t xml:space="preserve"> there is significant degree of work in gasification for power and heat generation. This however is beyond the scope of the present study.</w:t>
      </w:r>
    </w:p>
    <w:p w:rsidR="006E1BDE" w:rsidRDefault="00244DD3">
      <w:pPr>
        <w:pStyle w:val="Heading3"/>
        <w:rPr>
          <w:lang w:eastAsia="sv-SE"/>
        </w:rPr>
      </w:pPr>
      <w:bookmarkStart w:id="42" w:name="_Toc516598359"/>
      <w:r>
        <w:rPr>
          <w:lang w:eastAsia="sv-SE"/>
        </w:rPr>
        <w:t>Fast Pyrolysis</w:t>
      </w:r>
      <w:bookmarkEnd w:id="42"/>
      <w:r>
        <w:rPr>
          <w:lang w:eastAsia="sv-SE"/>
        </w:rPr>
        <w:t xml:space="preserve"> </w:t>
      </w:r>
    </w:p>
    <w:p w:rsidR="006E1BDE" w:rsidRDefault="00244DD3">
      <w:pPr>
        <w:rPr>
          <w:lang w:eastAsia="sv-SE"/>
        </w:rPr>
      </w:pPr>
      <w:r>
        <w:rPr>
          <w:lang w:eastAsia="sv-SE"/>
        </w:rPr>
        <w:t xml:space="preserve">Fast pyrolysis has been developed </w:t>
      </w:r>
      <w:r>
        <w:rPr>
          <w:lang w:eastAsia="sv-SE"/>
        </w:rPr>
        <w:t>over several years in the EU by few companies which have provided for continuity in the development of the technology mainly in the Netherlands and Finland. Initial work focused on producing a fuel oil for power and heat applications and few commercial fac</w:t>
      </w:r>
      <w:r>
        <w:rPr>
          <w:lang w:eastAsia="sv-SE"/>
        </w:rPr>
        <w:t>ilities are operational at present in the EU with good prospects for further commercialisation. The focus recently has turned in co-processing bio-oil in existing refineries aiming in reducing downstream processing costs in upgrading the bio-oil into a tra</w:t>
      </w:r>
      <w:r>
        <w:rPr>
          <w:lang w:eastAsia="sv-SE"/>
        </w:rPr>
        <w:t xml:space="preserve">nsport fuel. </w:t>
      </w:r>
    </w:p>
    <w:p w:rsidR="006E1BDE" w:rsidRDefault="00244DD3">
      <w:pPr>
        <w:rPr>
          <w:lang w:eastAsia="sv-SE"/>
        </w:rPr>
      </w:pPr>
      <w:r>
        <w:rPr>
          <w:lang w:eastAsia="sv-SE"/>
        </w:rPr>
        <w:t>In India there have been few efforts to develop fast pyrolysis, however significant efforts have been made based on the process of thermochemical catalytic technology which has reached the large scale demonstration phase. This technology conv</w:t>
      </w:r>
      <w:r>
        <w:rPr>
          <w:lang w:eastAsia="sv-SE"/>
        </w:rPr>
        <w:t>erts biomass directly into ‘drop in fuels’.</w:t>
      </w:r>
    </w:p>
    <w:p w:rsidR="006E1BDE" w:rsidRDefault="00244DD3">
      <w:pPr>
        <w:pStyle w:val="Heading3"/>
        <w:rPr>
          <w:lang w:eastAsia="sv-SE"/>
        </w:rPr>
      </w:pPr>
      <w:bookmarkStart w:id="43" w:name="_Toc516598360"/>
      <w:r>
        <w:rPr>
          <w:lang w:eastAsia="sv-SE"/>
        </w:rPr>
        <w:t>Hydrotreated Vegetable Oils (HVO)</w:t>
      </w:r>
      <w:bookmarkEnd w:id="43"/>
    </w:p>
    <w:p w:rsidR="006E1BDE" w:rsidRDefault="00244DD3">
      <w:pPr>
        <w:rPr>
          <w:szCs w:val="22"/>
          <w:lang w:eastAsia="sv-SE"/>
        </w:rPr>
      </w:pPr>
      <w:r>
        <w:rPr>
          <w:szCs w:val="22"/>
          <w:lang w:eastAsia="sv-SE"/>
        </w:rPr>
        <w:t>HVO has been a success story in the EU with NESTE</w:t>
      </w:r>
      <w:r>
        <w:rPr>
          <w:rStyle w:val="FootnoteReference"/>
          <w:szCs w:val="22"/>
          <w:lang w:eastAsia="sv-SE"/>
        </w:rPr>
        <w:footnoteReference w:id="72"/>
      </w:r>
      <w:r>
        <w:rPr>
          <w:szCs w:val="22"/>
          <w:lang w:eastAsia="sv-SE"/>
        </w:rPr>
        <w:t xml:space="preserve"> being the first company world-wide to produce this drop-in fuel on a commercial basis and has built plants worldwide. Other Eur</w:t>
      </w:r>
      <w:r>
        <w:rPr>
          <w:szCs w:val="22"/>
          <w:lang w:eastAsia="sv-SE"/>
        </w:rPr>
        <w:t xml:space="preserve">opean refineries are reconverting existing oil refineries into HVO biorefineries. The problem this market and value chain faces in the EU is the fact that large scale commercial refineries need large volumes of vegetable oils and the most common feedstock </w:t>
      </w:r>
      <w:r>
        <w:rPr>
          <w:szCs w:val="22"/>
          <w:lang w:eastAsia="sv-SE"/>
        </w:rPr>
        <w:t>is palm oil which faces political and stakeholders’ opposition in the EU.</w:t>
      </w:r>
    </w:p>
    <w:p w:rsidR="006E1BDE" w:rsidRDefault="00244DD3">
      <w:pPr>
        <w:rPr>
          <w:lang w:eastAsia="sv-SE"/>
        </w:rPr>
      </w:pPr>
      <w:r>
        <w:rPr>
          <w:szCs w:val="22"/>
          <w:lang w:eastAsia="sv-SE"/>
        </w:rPr>
        <w:t xml:space="preserve">There is no dedicated HVO plant in India however </w:t>
      </w:r>
      <w:r>
        <w:rPr>
          <w:b/>
          <w:szCs w:val="22"/>
          <w:lang w:eastAsia="sv-SE"/>
        </w:rPr>
        <w:t>Indian Oil Corporation</w:t>
      </w:r>
      <w:r>
        <w:rPr>
          <w:rStyle w:val="FootnoteReference"/>
          <w:szCs w:val="22"/>
          <w:lang w:eastAsia="sv-SE"/>
        </w:rPr>
        <w:footnoteReference w:id="73"/>
      </w:r>
      <w:r>
        <w:rPr>
          <w:szCs w:val="22"/>
          <w:lang w:eastAsia="sv-SE"/>
        </w:rPr>
        <w:t xml:space="preserve"> Technology has been examining the co-processing of non-edible oils in petroleum refinery. In this technology </w:t>
      </w:r>
      <w:r>
        <w:rPr>
          <w:szCs w:val="22"/>
          <w:lang w:eastAsia="sv-SE"/>
        </w:rPr>
        <w:t xml:space="preserve">it is not necessary to set up a new green field-processing unit but requires only minor modification in the existing petroleum processing plant. </w:t>
      </w:r>
    </w:p>
    <w:p w:rsidR="006E1BDE" w:rsidRDefault="00244DD3">
      <w:pPr>
        <w:pStyle w:val="Heading2"/>
      </w:pPr>
      <w:bookmarkStart w:id="44" w:name="_Toc516598361"/>
      <w:r>
        <w:t>Biological Conversion</w:t>
      </w:r>
      <w:bookmarkEnd w:id="44"/>
    </w:p>
    <w:p w:rsidR="006E1BDE" w:rsidRDefault="00244DD3">
      <w:pPr>
        <w:pStyle w:val="Heading3"/>
        <w:rPr>
          <w:lang w:eastAsia="sv-SE"/>
        </w:rPr>
      </w:pPr>
      <w:bookmarkStart w:id="45" w:name="_Toc516598362"/>
      <w:r>
        <w:rPr>
          <w:lang w:eastAsia="sv-SE"/>
        </w:rPr>
        <w:t>Cellulosic Alcohols</w:t>
      </w:r>
      <w:bookmarkEnd w:id="45"/>
    </w:p>
    <w:p w:rsidR="006E1BDE" w:rsidRDefault="00244DD3">
      <w:pPr>
        <w:rPr>
          <w:lang w:eastAsia="sv-SE"/>
        </w:rPr>
      </w:pPr>
      <w:r>
        <w:rPr>
          <w:lang w:eastAsia="sv-SE"/>
        </w:rPr>
        <w:t>Cellulosic ethanol has been successfully developed in the EU with ma</w:t>
      </w:r>
      <w:r>
        <w:rPr>
          <w:lang w:eastAsia="sv-SE"/>
        </w:rPr>
        <w:t xml:space="preserve">in research and innovation </w:t>
      </w:r>
      <w:r>
        <w:rPr>
          <w:szCs w:val="22"/>
          <w:lang w:eastAsia="sv-SE"/>
        </w:rPr>
        <w:t>emphasis</w:t>
      </w:r>
      <w:r>
        <w:rPr>
          <w:lang w:eastAsia="sv-SE"/>
        </w:rPr>
        <w:t xml:space="preserve"> on the development of enzymes and yeasts which are the key components in converting biomass into liquid fuels. This value chain is ready for commercialisation and several demonstration plants being built while few commer</w:t>
      </w:r>
      <w:r>
        <w:rPr>
          <w:lang w:eastAsia="sv-SE"/>
        </w:rPr>
        <w:t>cial plants are being planned for construction.</w:t>
      </w:r>
    </w:p>
    <w:p w:rsidR="006E1BDE" w:rsidRDefault="00244DD3">
      <w:pPr>
        <w:rPr>
          <w:lang w:eastAsia="sv-SE"/>
        </w:rPr>
      </w:pPr>
      <w:r>
        <w:rPr>
          <w:lang w:eastAsia="sv-SE"/>
        </w:rPr>
        <w:t xml:space="preserve">In line with India’s Ethanol Blending Programme, to keep up with the blending targets, at present only final (C heavy) molasses has been used as feedstock, which has remained largely inadequate. Therefore in </w:t>
      </w:r>
      <w:r>
        <w:rPr>
          <w:lang w:eastAsia="sv-SE"/>
        </w:rPr>
        <w:t>light of this limitation of availability of final molasses, it became essential to examine cellulosic feedstocks that can be used for producing ethanol. It is proposed to set up 12 plants based on cellulosic ethanol by public sector OMCs at various locatio</w:t>
      </w:r>
      <w:r>
        <w:rPr>
          <w:lang w:eastAsia="sv-SE"/>
        </w:rPr>
        <w:t>ns in India. This has created a significant market interest in advanced biofuels with cellulosic ethanol attracting most of the interest.</w:t>
      </w:r>
    </w:p>
    <w:p w:rsidR="006E1BDE" w:rsidRDefault="00244DD3">
      <w:pPr>
        <w:pStyle w:val="Heading3"/>
        <w:rPr>
          <w:lang w:eastAsia="sv-SE"/>
        </w:rPr>
      </w:pPr>
      <w:bookmarkStart w:id="46" w:name="_Toc516598363"/>
      <w:r>
        <w:rPr>
          <w:lang w:eastAsia="sv-SE"/>
        </w:rPr>
        <w:t>Biomethane</w:t>
      </w:r>
      <w:bookmarkEnd w:id="46"/>
      <w:r>
        <w:rPr>
          <w:lang w:eastAsia="sv-SE"/>
        </w:rPr>
        <w:t xml:space="preserve"> </w:t>
      </w:r>
    </w:p>
    <w:p w:rsidR="006E1BDE" w:rsidRDefault="00244DD3">
      <w:pPr>
        <w:rPr>
          <w:lang w:eastAsia="sv-SE"/>
        </w:rPr>
      </w:pPr>
      <w:r>
        <w:rPr>
          <w:lang w:eastAsia="sv-SE"/>
        </w:rPr>
        <w:t>Biomethane from anaerobic digestion is a commercial technology in the EU. There are more than 17,000 bioga</w:t>
      </w:r>
      <w:r>
        <w:rPr>
          <w:lang w:eastAsia="sv-SE"/>
        </w:rPr>
        <w:t xml:space="preserve">s plants in the EU and the majority of them are decentralized CHP facilities. About 400 of them produce biomethane with the majority of such plants in Germany, Sweden and the UK. The biomethane is mainly injected into the natural gas grid and in few cases </w:t>
      </w:r>
      <w:r>
        <w:rPr>
          <w:lang w:eastAsia="sv-SE"/>
        </w:rPr>
        <w:t>it is used in captive fleets where centralized filling stations are available. Both anaerobic digestion plants and upgrading of the biogas to biomethane are fully commercial technologies with several technology providers.</w:t>
      </w:r>
    </w:p>
    <w:p w:rsidR="006E1BDE" w:rsidRDefault="00244DD3">
      <w:pPr>
        <w:rPr>
          <w:lang w:eastAsia="sv-SE"/>
        </w:rPr>
      </w:pPr>
      <w:r>
        <w:rPr>
          <w:lang w:eastAsia="sv-SE"/>
        </w:rPr>
        <w:t>In India, many medium scale and la</w:t>
      </w:r>
      <w:r>
        <w:rPr>
          <w:lang w:eastAsia="sv-SE"/>
        </w:rPr>
        <w:t xml:space="preserve">rge-scale biogas and biomethane plants were set up using effluent of distilleries, breweries and other industries. In addition, biogas &amp; biomethane plants based on sludge of Sewage Treatment Plant, MSW, crop residues, kitchen waste etc. have also been set </w:t>
      </w:r>
      <w:r>
        <w:rPr>
          <w:lang w:eastAsia="sv-SE"/>
        </w:rPr>
        <w:t>up.  Till recently, biogas plants were used to produce electricity and steam (CHP), especially in distilleries. However, there is an increasing trend to set up bio-CNG plants in India. There is a largescale program for producing bio-CNG using crop residues</w:t>
      </w:r>
      <w:r>
        <w:rPr>
          <w:lang w:eastAsia="sv-SE"/>
        </w:rPr>
        <w:t xml:space="preserve"> such as rice straw.</w:t>
      </w:r>
    </w:p>
    <w:p w:rsidR="006E1BDE" w:rsidRDefault="00244DD3">
      <w:pPr>
        <w:pStyle w:val="Heading2"/>
      </w:pPr>
      <w:bookmarkStart w:id="47" w:name="_Toc516598364"/>
      <w:r>
        <w:t>Algae</w:t>
      </w:r>
      <w:bookmarkEnd w:id="47"/>
      <w:r>
        <w:t xml:space="preserve"> </w:t>
      </w:r>
    </w:p>
    <w:p w:rsidR="006E1BDE" w:rsidRDefault="00244DD3">
      <w:pPr>
        <w:rPr>
          <w:lang w:eastAsia="sv-SE"/>
        </w:rPr>
      </w:pPr>
      <w:r>
        <w:rPr>
          <w:lang w:eastAsia="sv-SE"/>
        </w:rPr>
        <w:t>Recent work on biofuels from algae indicated that at present the cost of such value chains is prohibitive and in the EU algae are cultivated for other market segments (food, feed, cosmetics, etc). However, using algae in waste w</w:t>
      </w:r>
      <w:r>
        <w:rPr>
          <w:lang w:eastAsia="sv-SE"/>
        </w:rPr>
        <w:t>ater treatment facilities to purify waste water has been a successful application by AQUALIA of Spain</w:t>
      </w:r>
      <w:r>
        <w:rPr>
          <w:rStyle w:val="FootnoteReference"/>
          <w:lang w:eastAsia="sv-SE"/>
        </w:rPr>
        <w:footnoteReference w:id="74"/>
      </w:r>
      <w:r>
        <w:rPr>
          <w:lang w:eastAsia="sv-SE"/>
        </w:rPr>
        <w:t xml:space="preserve">. </w:t>
      </w:r>
    </w:p>
    <w:p w:rsidR="006E1BDE" w:rsidRDefault="00244DD3">
      <w:pPr>
        <w:rPr>
          <w:lang w:eastAsia="sv-SE"/>
        </w:rPr>
      </w:pPr>
      <w:r>
        <w:rPr>
          <w:lang w:eastAsia="sv-SE"/>
        </w:rPr>
        <w:t xml:space="preserve">In India </w:t>
      </w:r>
      <w:r>
        <w:rPr>
          <w:b/>
          <w:lang w:eastAsia="sv-SE"/>
        </w:rPr>
        <w:t>Phycolinc Technologies PVT LTD</w:t>
      </w:r>
      <w:r>
        <w:rPr>
          <w:lang w:eastAsia="sv-SE"/>
        </w:rPr>
        <w:t xml:space="preserve"> in Ahmedabad is engaged in implementing Phycospectrum Environmental Research Centre’s (PERC), algae remediation</w:t>
      </w:r>
      <w:r>
        <w:rPr>
          <w:lang w:eastAsia="sv-SE"/>
        </w:rPr>
        <w:t xml:space="preserve"> technology in industries in India. The company uses phycoremediation for the removal or biotransformation of pollutants from wastewater</w:t>
      </w:r>
      <w:r>
        <w:rPr>
          <w:rStyle w:val="FootnoteReference"/>
          <w:szCs w:val="22"/>
          <w:lang w:eastAsia="sv-SE"/>
        </w:rPr>
        <w:footnoteReference w:id="75"/>
      </w:r>
      <w:r>
        <w:rPr>
          <w:lang w:eastAsia="sv-SE"/>
        </w:rPr>
        <w:t>. Microalgae are used during the tertiary treatment of wastewater in maturation ponds. Algae are known to remove or bio</w:t>
      </w:r>
      <w:r>
        <w:rPr>
          <w:lang w:eastAsia="sv-SE"/>
        </w:rPr>
        <w:t xml:space="preserve">-convert nitrogen compounds and other contaminants including heavy metals. </w:t>
      </w:r>
    </w:p>
    <w:p w:rsidR="006E1BDE" w:rsidRDefault="00244DD3">
      <w:pPr>
        <w:pStyle w:val="Heading2"/>
      </w:pPr>
      <w:bookmarkStart w:id="48" w:name="_Toc516598365"/>
      <w:r>
        <w:t>Power to X</w:t>
      </w:r>
      <w:bookmarkEnd w:id="48"/>
      <w:r>
        <w:t xml:space="preserve"> </w:t>
      </w:r>
    </w:p>
    <w:p w:rsidR="006E1BDE" w:rsidRDefault="00244DD3">
      <w:pPr>
        <w:rPr>
          <w:lang w:eastAsia="sv-SE"/>
        </w:rPr>
      </w:pPr>
      <w:r>
        <w:rPr>
          <w:lang w:eastAsia="sv-SE"/>
        </w:rPr>
        <w:t>Power to X refers to technologies that convert power to liquid or gaseous fuels. There are several pilots and demonstration plants in the EU however all these are consi</w:t>
      </w:r>
      <w:r>
        <w:rPr>
          <w:lang w:eastAsia="sv-SE"/>
        </w:rPr>
        <w:t>dered to be far from commercialisation. Since India is an energy deficit country, Power to X does not have any prospects in India in the short or medium term.</w:t>
      </w:r>
    </w:p>
    <w:p w:rsidR="006E1BDE" w:rsidRDefault="00244DD3">
      <w:pPr>
        <w:pStyle w:val="Heading2"/>
      </w:pPr>
      <w:bookmarkStart w:id="49" w:name="_Toc516598366"/>
      <w:r>
        <w:t>Carbon Capture and Utilisation (CCU)</w:t>
      </w:r>
      <w:bookmarkEnd w:id="49"/>
      <w:r>
        <w:t xml:space="preserve"> </w:t>
      </w:r>
    </w:p>
    <w:p w:rsidR="006E1BDE" w:rsidRDefault="00244DD3">
      <w:pPr>
        <w:rPr>
          <w:lang w:eastAsia="sv-SE"/>
        </w:rPr>
      </w:pPr>
      <w:r>
        <w:rPr>
          <w:lang w:eastAsia="sv-SE"/>
        </w:rPr>
        <w:t>Carbon Capture and Utilisation (CCU) is an interesting approach to increase the overall carbon conversion efficiency of a certain industrial process (such as steel). Although there is significant interest in both the EU and India for market applications of</w:t>
      </w:r>
      <w:r>
        <w:rPr>
          <w:lang w:eastAsia="sv-SE"/>
        </w:rPr>
        <w:t xml:space="preserve"> CCU technologies there are no EU or Indian technology developers who have been able to build large scale demonstration facilities.  </w:t>
      </w:r>
    </w:p>
    <w:p w:rsidR="006E1BDE" w:rsidRDefault="006E1BDE">
      <w:pPr>
        <w:pStyle w:val="EXNumberedlist"/>
        <w:numPr>
          <w:ilvl w:val="0"/>
          <w:numId w:val="0"/>
        </w:numPr>
        <w:rPr>
          <w:lang w:eastAsia="sv-SE"/>
        </w:rPr>
      </w:pPr>
    </w:p>
    <w:p w:rsidR="006E1BDE" w:rsidRDefault="006E1BDE">
      <w:pPr>
        <w:pStyle w:val="EXNumberedlist"/>
        <w:numPr>
          <w:ilvl w:val="0"/>
          <w:numId w:val="0"/>
        </w:numPr>
        <w:ind w:left="648" w:hanging="288"/>
        <w:rPr>
          <w:lang w:eastAsia="sv-SE"/>
        </w:rPr>
      </w:pPr>
    </w:p>
    <w:p w:rsidR="006E1BDE" w:rsidRDefault="00244DD3">
      <w:pPr>
        <w:numPr>
          <w:ilvl w:val="0"/>
          <w:numId w:val="0"/>
        </w:numPr>
        <w:spacing w:after="0" w:line="240" w:lineRule="auto"/>
        <w:jc w:val="left"/>
        <w:rPr>
          <w:lang w:eastAsia="sv-SE"/>
        </w:rPr>
      </w:pPr>
      <w:r>
        <w:rPr>
          <w:lang w:eastAsia="sv-SE"/>
        </w:rPr>
        <w:br w:type="page"/>
      </w:r>
    </w:p>
    <w:p w:rsidR="006E1BDE" w:rsidRDefault="00244DD3">
      <w:pPr>
        <w:pStyle w:val="Heading1"/>
        <w:rPr>
          <w:sz w:val="22"/>
          <w:szCs w:val="22"/>
          <w:lang w:eastAsia="sv-SE"/>
        </w:rPr>
      </w:pPr>
      <w:bookmarkStart w:id="50" w:name="_Toc516598367"/>
      <w:r>
        <w:rPr>
          <w:sz w:val="22"/>
          <w:szCs w:val="22"/>
          <w:lang w:eastAsia="sv-SE"/>
        </w:rPr>
        <w:t>Financing mechanisms for demonstration plants in the TRL range of 6-9</w:t>
      </w:r>
      <w:bookmarkEnd w:id="50"/>
    </w:p>
    <w:p w:rsidR="006E1BDE" w:rsidRDefault="00244DD3">
      <w:pPr>
        <w:pStyle w:val="Heading2"/>
      </w:pPr>
      <w:bookmarkStart w:id="51" w:name="_Toc516598368"/>
      <w:r>
        <w:t>Introduction</w:t>
      </w:r>
      <w:bookmarkEnd w:id="51"/>
    </w:p>
    <w:p w:rsidR="006E1BDE" w:rsidRDefault="00244DD3">
      <w:pPr>
        <w:rPr>
          <w:szCs w:val="22"/>
          <w:lang w:eastAsia="sv-SE"/>
        </w:rPr>
      </w:pPr>
      <w:r>
        <w:rPr>
          <w:szCs w:val="22"/>
          <w:lang w:eastAsia="sv-SE"/>
        </w:rPr>
        <w:t>All technologies have to go through</w:t>
      </w:r>
      <w:r>
        <w:rPr>
          <w:szCs w:val="22"/>
          <w:lang w:eastAsia="sv-SE"/>
        </w:rPr>
        <w:t xml:space="preserve"> the valley of death to be able to reach the deployment stage. With state of the art technologies and first-of-a-kind (FOAK) plants it is necessary to provide adequate financing to assist the technology developers in covering the technical and other risks.</w:t>
      </w:r>
      <w:r>
        <w:rPr>
          <w:szCs w:val="22"/>
          <w:lang w:eastAsia="sv-SE"/>
        </w:rPr>
        <w:t xml:space="preserve"> This financing can be significant and in the range of several hundreds of million euros and therefore dedicated financing mechanisms are needed. Often the actual needs of the industry and technology developers are not well understood resulting in failure </w:t>
      </w:r>
      <w:r>
        <w:rPr>
          <w:szCs w:val="22"/>
          <w:lang w:eastAsia="sv-SE"/>
        </w:rPr>
        <w:t>of the mechanisms.</w:t>
      </w:r>
    </w:p>
    <w:p w:rsidR="006E1BDE" w:rsidRDefault="00244DD3">
      <w:pPr>
        <w:pStyle w:val="Heading2"/>
      </w:pPr>
      <w:bookmarkStart w:id="52" w:name="_Toc516598369"/>
      <w:r>
        <w:t>Financing mechanisms in the EU</w:t>
      </w:r>
      <w:bookmarkEnd w:id="52"/>
    </w:p>
    <w:p w:rsidR="006E1BDE" w:rsidRDefault="00244DD3">
      <w:pPr>
        <w:rPr>
          <w:szCs w:val="22"/>
          <w:lang w:eastAsia="sv-SE"/>
        </w:rPr>
      </w:pPr>
      <w:r>
        <w:rPr>
          <w:szCs w:val="22"/>
          <w:lang w:eastAsia="sv-SE"/>
        </w:rPr>
        <w:t>Financing in the EU comes from several sources such as National plans and mechanisms to promote renewable energy sources, the European Union’s innovation programs and some dedicated actions managed by the E</w:t>
      </w:r>
      <w:r>
        <w:rPr>
          <w:szCs w:val="22"/>
          <w:lang w:eastAsia="sv-SE"/>
        </w:rPr>
        <w:t>uropean Commission to provide dedicated funding for innovative technologies and FOAKs. However the main tool is that of the Framework Programmes for Research and Innovation of the European Union. These programmes (see below FP7 &amp; H2020) operate on annual c</w:t>
      </w:r>
      <w:r>
        <w:rPr>
          <w:szCs w:val="22"/>
          <w:lang w:eastAsia="sv-SE"/>
        </w:rPr>
        <w:t>alls in which the priorities of the Call Topics vary. Technology developers and research organisations submit proposals at certain deadlines. The proposals are then evaluated by independent experts hired by the European Commission and they are scored again</w:t>
      </w:r>
      <w:r>
        <w:rPr>
          <w:szCs w:val="22"/>
          <w:lang w:eastAsia="sv-SE"/>
        </w:rPr>
        <w:t>st specific criteria. The consortia of the successful proposals that get the highest score are then contracted to implement the projects. All proposals must be submitted by consortia with organisations from at least 3 Member States or 2 Member States and a</w:t>
      </w:r>
      <w:r>
        <w:rPr>
          <w:szCs w:val="22"/>
          <w:lang w:eastAsia="sv-SE"/>
        </w:rPr>
        <w:t>n Associated Country</w:t>
      </w:r>
      <w:r>
        <w:rPr>
          <w:rStyle w:val="FootnoteReference"/>
          <w:szCs w:val="22"/>
          <w:lang w:eastAsia="sv-SE"/>
        </w:rPr>
        <w:footnoteReference w:id="76"/>
      </w:r>
      <w:r>
        <w:rPr>
          <w:szCs w:val="22"/>
          <w:lang w:eastAsia="sv-SE"/>
        </w:rPr>
        <w:t>. The participation of Indian organisations in the current Framework Programme is described below in b) Horizon 2020.</w:t>
      </w:r>
    </w:p>
    <w:p w:rsidR="006E1BDE" w:rsidRDefault="00244DD3">
      <w:pPr>
        <w:pStyle w:val="Heading3"/>
        <w:rPr>
          <w:szCs w:val="22"/>
        </w:rPr>
      </w:pPr>
      <w:bookmarkStart w:id="53" w:name="_Toc516598370"/>
      <w:r>
        <w:rPr>
          <w:szCs w:val="22"/>
        </w:rPr>
        <w:t>Seventh Framework Programme (FP7)</w:t>
      </w:r>
      <w:bookmarkEnd w:id="53"/>
    </w:p>
    <w:p w:rsidR="006E1BDE" w:rsidRDefault="00244DD3">
      <w:pPr>
        <w:rPr>
          <w:szCs w:val="22"/>
          <w:lang w:eastAsia="sv-SE"/>
        </w:rPr>
      </w:pPr>
      <w:r>
        <w:rPr>
          <w:szCs w:val="22"/>
          <w:lang w:eastAsia="sv-SE"/>
        </w:rPr>
        <w:t xml:space="preserve">The Seventh Framework Programme of the European Community for </w:t>
      </w:r>
      <w:r>
        <w:rPr>
          <w:i/>
          <w:szCs w:val="22"/>
          <w:lang w:eastAsia="sv-SE"/>
        </w:rPr>
        <w:t>research, technologic</w:t>
      </w:r>
      <w:r>
        <w:rPr>
          <w:i/>
          <w:szCs w:val="22"/>
          <w:lang w:eastAsia="sv-SE"/>
        </w:rPr>
        <w:t>al development and demonstration activities</w:t>
      </w:r>
      <w:r>
        <w:rPr>
          <w:szCs w:val="22"/>
          <w:lang w:eastAsia="sv-SE"/>
        </w:rPr>
        <w:t xml:space="preserve"> was implemented over the period 2007-2013 (FP7)</w:t>
      </w:r>
      <w:r>
        <w:rPr>
          <w:rStyle w:val="FootnoteReference"/>
          <w:szCs w:val="22"/>
          <w:lang w:eastAsia="sv-SE"/>
        </w:rPr>
        <w:footnoteReference w:id="77"/>
      </w:r>
      <w:r>
        <w:rPr>
          <w:szCs w:val="22"/>
          <w:lang w:eastAsia="sv-SE"/>
        </w:rPr>
        <w:t>. With a voted budget of EUR 55 billion, FP7 was one of the largest transnational competitive RTD programmes in the world</w:t>
      </w:r>
      <w:r>
        <w:rPr>
          <w:rStyle w:val="FootnoteReference"/>
          <w:szCs w:val="22"/>
          <w:lang w:eastAsia="sv-SE"/>
        </w:rPr>
        <w:footnoteReference w:id="78"/>
      </w:r>
      <w:r>
        <w:rPr>
          <w:szCs w:val="22"/>
          <w:lang w:eastAsia="sv-SE"/>
        </w:rPr>
        <w:t>. The main focus of FP7 was on science, es</w:t>
      </w:r>
      <w:r>
        <w:rPr>
          <w:szCs w:val="22"/>
          <w:lang w:eastAsia="sv-SE"/>
        </w:rPr>
        <w:t>pecially the promotion of collaborative research and excellence. FP7 has paved the way towards contributing to the achievement of the priorities of the Juncker Commission, by developing a common knowledge and technology base and innovative solutions in are</w:t>
      </w:r>
      <w:r>
        <w:rPr>
          <w:szCs w:val="22"/>
          <w:lang w:eastAsia="sv-SE"/>
        </w:rPr>
        <w:t>as addressing pan-European challenges, for instance in the areas of environment, transport energy, digital single market, health, food safety and security. FP7 was a global programme with participants from 170 countries and funded projects in all areas cov</w:t>
      </w:r>
      <w:r>
        <w:rPr>
          <w:szCs w:val="22"/>
          <w:lang w:eastAsia="sv-SE"/>
        </w:rPr>
        <w:t>ered by the Sustainable Development Goals. FP7 fostered growth and jobs and, in particular during the financial and economic crisis, helped maintain research and innovation activities at national level.</w:t>
      </w:r>
    </w:p>
    <w:p w:rsidR="006E1BDE" w:rsidRDefault="00244DD3">
      <w:pPr>
        <w:rPr>
          <w:szCs w:val="22"/>
          <w:lang w:eastAsia="sv-SE"/>
        </w:rPr>
      </w:pPr>
      <w:r>
        <w:rPr>
          <w:szCs w:val="22"/>
          <w:lang w:eastAsia="sv-SE"/>
        </w:rPr>
        <w:t>The budget for energy related projects was</w:t>
      </w:r>
      <w:r>
        <w:rPr>
          <w:szCs w:val="22"/>
        </w:rPr>
        <w:t xml:space="preserve"> </w:t>
      </w:r>
      <w:r>
        <w:rPr>
          <w:szCs w:val="22"/>
          <w:lang w:eastAsia="sv-SE"/>
        </w:rPr>
        <w:t>€2 350 mil</w:t>
      </w:r>
      <w:r>
        <w:rPr>
          <w:szCs w:val="22"/>
          <w:lang w:eastAsia="sv-SE"/>
        </w:rPr>
        <w:t>lion. CORDIS</w:t>
      </w:r>
      <w:r>
        <w:rPr>
          <w:rStyle w:val="FootnoteReference"/>
          <w:szCs w:val="22"/>
          <w:lang w:eastAsia="sv-SE"/>
        </w:rPr>
        <w:footnoteReference w:id="79"/>
      </w:r>
      <w:r>
        <w:rPr>
          <w:szCs w:val="22"/>
          <w:lang w:eastAsia="sv-SE"/>
        </w:rPr>
        <w:t xml:space="preserve"> is the data basis for accessing publicly available information on completed and still ongoing FP7 Contracts</w:t>
      </w:r>
      <w:r>
        <w:rPr>
          <w:rStyle w:val="FootnoteReference"/>
          <w:szCs w:val="22"/>
          <w:lang w:eastAsia="sv-SE"/>
        </w:rPr>
        <w:footnoteReference w:id="80"/>
      </w:r>
      <w:r>
        <w:rPr>
          <w:szCs w:val="22"/>
          <w:lang w:eastAsia="sv-SE"/>
        </w:rPr>
        <w:t xml:space="preserve">. </w:t>
      </w:r>
    </w:p>
    <w:p w:rsidR="006E1BDE" w:rsidRDefault="00244DD3">
      <w:pPr>
        <w:rPr>
          <w:szCs w:val="22"/>
          <w:lang w:eastAsia="sv-SE"/>
        </w:rPr>
      </w:pPr>
      <w:r>
        <w:rPr>
          <w:szCs w:val="22"/>
          <w:lang w:eastAsia="sv-SE"/>
        </w:rPr>
        <w:t>Numerous projects have been supported for advanced biofuels under FP7 however the large scale demonstration project based on indust</w:t>
      </w:r>
      <w:r>
        <w:rPr>
          <w:szCs w:val="22"/>
          <w:lang w:eastAsia="sv-SE"/>
        </w:rPr>
        <w:t>rial leadership were managed by the Directorate General for Energy and these are listed in Table 18 below.</w:t>
      </w:r>
    </w:p>
    <w:p w:rsidR="006E1BDE" w:rsidRDefault="00244DD3">
      <w:pPr>
        <w:pStyle w:val="Caption"/>
        <w:rPr>
          <w:szCs w:val="22"/>
        </w:rPr>
      </w:pPr>
      <w:r>
        <w:rPr>
          <w:szCs w:val="22"/>
        </w:rPr>
        <w:t xml:space="preserve">Table 18: DG ENER-Funded Large-Scale Demonstration Projects under FP7 </w:t>
      </w:r>
    </w:p>
    <w:tbl>
      <w:tblPr>
        <w:tblStyle w:val="GridTable5Dark-Accent11"/>
        <w:tblpPr w:leftFromText="180" w:rightFromText="180" w:vertAnchor="text" w:horzAnchor="margin" w:tblpXSpec="center" w:tblpY="45"/>
        <w:tblW w:w="8841" w:type="dxa"/>
        <w:tblLook w:val="04A0" w:firstRow="1" w:lastRow="0" w:firstColumn="1" w:lastColumn="0" w:noHBand="0" w:noVBand="1"/>
      </w:tblPr>
      <w:tblGrid>
        <w:gridCol w:w="1112"/>
        <w:gridCol w:w="1415"/>
        <w:gridCol w:w="1364"/>
        <w:gridCol w:w="1330"/>
        <w:gridCol w:w="1344"/>
        <w:gridCol w:w="1268"/>
        <w:gridCol w:w="1004"/>
        <w:gridCol w:w="1580"/>
      </w:tblGrid>
      <w:tr w:rsidR="006E1BDE" w:rsidTr="006E1BDE">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Align w:val="center"/>
            <w:hideMark/>
          </w:tcPr>
          <w:p w:rsidR="006E1BDE" w:rsidRDefault="00244DD3">
            <w:pPr>
              <w:spacing w:after="200"/>
              <w:ind w:right="3"/>
              <w:jc w:val="center"/>
              <w:rPr>
                <w:rFonts w:eastAsia="Times New Roman" w:cs="Times New Roman"/>
                <w:lang w:eastAsia="nl-BE"/>
              </w:rPr>
            </w:pPr>
            <w:r>
              <w:rPr>
                <w:rFonts w:eastAsia="Times New Roman" w:cs="Times New Roman"/>
                <w:color w:val="FFFFFF"/>
                <w:lang w:eastAsia="nl-BE"/>
              </w:rPr>
              <w:t>EC Biofuel Cluster</w:t>
            </w:r>
          </w:p>
        </w:tc>
        <w:tc>
          <w:tcPr>
            <w:tcW w:w="1154" w:type="dxa"/>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Contract Acronym</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Coordinator</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Technology Provider</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Biofuel</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EC</w:t>
            </w:r>
            <w:r>
              <w:rPr>
                <w:rFonts w:eastAsia="Times New Roman" w:cs="Times New Roman"/>
                <w:color w:val="FFFFFF"/>
                <w:lang w:eastAsia="nl-BE"/>
              </w:rPr>
              <w:t xml:space="preserve"> Support €  M</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Biomass</w:t>
            </w:r>
          </w:p>
        </w:tc>
        <w:tc>
          <w:tcPr>
            <w:tcW w:w="0" w:type="auto"/>
            <w:vAlign w:val="center"/>
            <w:hideMark/>
          </w:tcPr>
          <w:p w:rsidR="006E1BDE" w:rsidRDefault="00244DD3">
            <w:pPr>
              <w:spacing w:after="200"/>
              <w:ind w:right="3"/>
              <w:jc w:val="center"/>
              <w:cnfStyle w:val="100000000000" w:firstRow="1"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color w:val="FFFFFF"/>
                <w:lang w:eastAsia="nl-BE"/>
              </w:rPr>
              <w:t>Production Capacity</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restart"/>
            <w:vAlign w:val="center"/>
            <w:hideMark/>
          </w:tcPr>
          <w:p w:rsidR="006E1BDE" w:rsidRDefault="00244DD3">
            <w:pPr>
              <w:spacing w:after="0"/>
              <w:ind w:right="6"/>
              <w:jc w:val="center"/>
              <w:rPr>
                <w:rFonts w:eastAsia="Times New Roman" w:cs="Times New Roman"/>
                <w:lang w:eastAsia="nl-BE"/>
              </w:rPr>
            </w:pPr>
            <w:r>
              <w:rPr>
                <w:rFonts w:eastAsia="Times New Roman" w:cs="Times New Roman"/>
                <w:lang w:eastAsia="nl-BE"/>
              </w:rPr>
              <w:t>Synthetic</w:t>
            </w:r>
          </w:p>
        </w:tc>
        <w:tc>
          <w:tcPr>
            <w:tcW w:w="1154" w:type="dxa"/>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OPTFUEL</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VW</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Choren Industries</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Fischer-Tropsch</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7.8</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Wood</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15,000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6"/>
              <w:jc w:val="center"/>
              <w:rPr>
                <w:rFonts w:eastAsia="Times New Roman" w:cs="Times New Roman"/>
                <w:lang w:eastAsia="nl-BE"/>
              </w:rPr>
            </w:pPr>
          </w:p>
        </w:tc>
        <w:tc>
          <w:tcPr>
            <w:tcW w:w="1154" w:type="dxa"/>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BIO DME</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Volvo</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Chemrec</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Dimethyl-ether</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8.2</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Black Liquor</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600 t/y -150 days operation)</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restart"/>
            <w:vAlign w:val="center"/>
            <w:hideMark/>
          </w:tcPr>
          <w:p w:rsidR="006E1BDE" w:rsidRDefault="00244DD3">
            <w:pPr>
              <w:spacing w:after="0"/>
              <w:ind w:right="3"/>
              <w:jc w:val="center"/>
              <w:rPr>
                <w:rFonts w:eastAsia="Times New Roman" w:cs="Times New Roman"/>
                <w:lang w:eastAsia="nl-BE"/>
              </w:rPr>
            </w:pPr>
            <w:r>
              <w:rPr>
                <w:rFonts w:eastAsia="Times New Roman" w:cs="Times New Roman"/>
                <w:lang w:eastAsia="nl-BE"/>
              </w:rPr>
              <w:t>Cellulosic Ethanol</w:t>
            </w: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BIOLYFE</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Chemtex Italia</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 xml:space="preserve">Chemtex </w:t>
            </w:r>
            <w:r>
              <w:rPr>
                <w:rFonts w:eastAsia="Times New Roman" w:cs="Times New Roman"/>
                <w:lang w:eastAsia="nl-BE"/>
              </w:rPr>
              <w:t>Italia</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8.6</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Various</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40,000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FIBREEtOH</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UPM</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UPM</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8.6</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Fibre</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20,000 t/y</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KACELLE</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Dong Energy</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Inbicon</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9.1</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Straw</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20,000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LED</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Abengoa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Abengoa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8.6</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Corn res.</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50,000 t/y</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GOMETHA*</w:t>
            </w:r>
          </w:p>
        </w:tc>
        <w:tc>
          <w:tcPr>
            <w:tcW w:w="0" w:type="auto"/>
            <w:vAlign w:val="center"/>
            <w:hideMark/>
          </w:tcPr>
          <w:p w:rsidR="006E1BDE" w:rsidRDefault="00244DD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Biochemtex</w:t>
            </w:r>
          </w:p>
        </w:tc>
        <w:tc>
          <w:tcPr>
            <w:tcW w:w="0" w:type="auto"/>
            <w:vAlign w:val="center"/>
            <w:hideMark/>
          </w:tcPr>
          <w:p w:rsidR="006E1BDE" w:rsidRDefault="00244DD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Biochetemx</w:t>
            </w:r>
          </w:p>
        </w:tc>
        <w:tc>
          <w:tcPr>
            <w:tcW w:w="0" w:type="auto"/>
            <w:vAlign w:val="center"/>
            <w:hideMark/>
          </w:tcPr>
          <w:p w:rsidR="006E1BDE" w:rsidRDefault="00244DD3">
            <w:pPr>
              <w:spacing w:after="0"/>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19.0</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Various</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80.000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SUNLIQUID*</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Clariant</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Clariant</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19.0</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Various</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60,000 t/y</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Align w:val="center"/>
            <w:hideMark/>
          </w:tcPr>
          <w:p w:rsidR="006E1BDE" w:rsidRDefault="00244DD3">
            <w:pPr>
              <w:spacing w:after="0"/>
              <w:ind w:right="3"/>
              <w:jc w:val="center"/>
              <w:rPr>
                <w:rFonts w:eastAsia="Times New Roman" w:cs="Times New Roman"/>
                <w:lang w:eastAsia="nl-BE"/>
              </w:rPr>
            </w:pPr>
            <w:r>
              <w:rPr>
                <w:rFonts w:eastAsia="Times New Roman" w:cs="Times New Roman"/>
                <w:lang w:eastAsia="nl-BE"/>
              </w:rPr>
              <w:t>Pyrolysis</w:t>
            </w: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EMPYRO</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BTG</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BTG</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Bio-oil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5.0</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Wood</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17,400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restart"/>
            <w:vAlign w:val="center"/>
            <w:hideMark/>
          </w:tcPr>
          <w:p w:rsidR="006E1BDE" w:rsidRDefault="00244DD3">
            <w:pPr>
              <w:spacing w:after="0"/>
              <w:ind w:right="3"/>
              <w:jc w:val="center"/>
              <w:rPr>
                <w:rFonts w:eastAsia="Times New Roman" w:cs="Times New Roman"/>
                <w:lang w:eastAsia="nl-BE"/>
              </w:rPr>
            </w:pPr>
            <w:r>
              <w:rPr>
                <w:rFonts w:eastAsia="Times New Roman" w:cs="Times New Roman"/>
                <w:lang w:eastAsia="nl-BE"/>
              </w:rPr>
              <w:t>Algae</w:t>
            </w: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ALL-GAS</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Aqualia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Aqualia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Biodiesel &amp; biomethane</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7.1</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Algae</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90t/ha.y  algae</w:t>
            </w:r>
          </w:p>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on 10 ha</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BIOFAT</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A4F</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Alga Fuel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 xml:space="preserve">Biodiesel &amp; </w:t>
            </w:r>
            <w:r>
              <w:rPr>
                <w:rFonts w:eastAsia="Times New Roman" w:cs="Times New Roman"/>
                <w:lang w:eastAsia="nl-BE"/>
              </w:rPr>
              <w:t>ethanol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7.1</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Algae</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90t/ha.y  algae</w:t>
            </w:r>
          </w:p>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on 10 ha</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INTESUSAL</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CPI</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CPI</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Biodiesel</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5.0</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Algae</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90t/ha.y  algae</w:t>
            </w:r>
          </w:p>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on 10 ha</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restart"/>
            <w:vAlign w:val="center"/>
            <w:hideMark/>
          </w:tcPr>
          <w:p w:rsidR="006E1BDE" w:rsidRDefault="00244DD3">
            <w:pPr>
              <w:spacing w:after="0"/>
              <w:ind w:right="3"/>
              <w:jc w:val="center"/>
              <w:rPr>
                <w:rFonts w:eastAsia="Times New Roman" w:cs="Times New Roman"/>
                <w:lang w:eastAsia="nl-BE"/>
              </w:rPr>
            </w:pPr>
            <w:r>
              <w:rPr>
                <w:rFonts w:eastAsia="Times New Roman" w:cs="Times New Roman"/>
                <w:lang w:eastAsia="nl-BE"/>
              </w:rPr>
              <w:t>Bio-Jet</w:t>
            </w:r>
          </w:p>
        </w:tc>
        <w:tc>
          <w:tcPr>
            <w:tcW w:w="1154" w:type="dxa"/>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BFSJ</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Swedish Biofuels</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Swedish Biofuels</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Bio-Jet &amp; diesel</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27.8</w:t>
            </w: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MSW, wood</w:t>
            </w:r>
          </w:p>
        </w:tc>
        <w:tc>
          <w:tcPr>
            <w:tcW w:w="0" w:type="auto"/>
            <w:vAlign w:val="center"/>
            <w:hideMark/>
          </w:tcPr>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5,000 t/y</w:t>
            </w:r>
          </w:p>
          <w:p w:rsidR="006E1BDE" w:rsidRDefault="00244DD3">
            <w:pPr>
              <w:spacing w:after="0"/>
              <w:ind w:right="6"/>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5,000 t/y</w:t>
            </w:r>
          </w:p>
        </w:tc>
      </w:tr>
      <w:tr w:rsidR="006E1BDE" w:rsidTr="006E1BDE">
        <w:trPr>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Biorefly</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Chemtex Italia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Chemtex Italia</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Bio-Jet</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13.8</w:t>
            </w:r>
          </w:p>
        </w:tc>
        <w:tc>
          <w:tcPr>
            <w:tcW w:w="0" w:type="auto"/>
            <w:vAlign w:val="center"/>
            <w:hideMark/>
          </w:tcPr>
          <w:p w:rsidR="006E1BDE" w:rsidRDefault="00244DD3">
            <w:pPr>
              <w:spacing w:after="0"/>
              <w:ind w:right="3"/>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Lignin</w:t>
            </w:r>
          </w:p>
        </w:tc>
        <w:tc>
          <w:tcPr>
            <w:tcW w:w="0" w:type="auto"/>
            <w:vAlign w:val="center"/>
            <w:hideMark/>
          </w:tcPr>
          <w:p w:rsidR="006E1BDE" w:rsidRDefault="00244DD3">
            <w:pPr>
              <w:spacing w:after="0"/>
              <w:ind w:right="6"/>
              <w:jc w:val="center"/>
              <w:cnfStyle w:val="000000000000" w:firstRow="0" w:lastRow="0" w:firstColumn="0" w:lastColumn="0" w:oddVBand="0" w:evenVBand="0" w:oddHBand="0" w:evenHBand="0" w:firstRowFirstColumn="0" w:firstRowLastColumn="0" w:lastRowFirstColumn="0" w:lastRowLastColumn="0"/>
              <w:rPr>
                <w:rFonts w:eastAsia="Times New Roman" w:cs="Times New Roman"/>
                <w:lang w:eastAsia="nl-BE"/>
              </w:rPr>
            </w:pPr>
            <w:r>
              <w:rPr>
                <w:rFonts w:eastAsia="Times New Roman" w:cs="Times New Roman"/>
                <w:lang w:eastAsia="nl-BE"/>
              </w:rPr>
              <w:t>2,000 t/y</w:t>
            </w:r>
          </w:p>
        </w:tc>
      </w:tr>
      <w:tr w:rsidR="006E1BDE" w:rsidTr="006E1BDE">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1234" w:type="dxa"/>
            <w:vMerge/>
            <w:vAlign w:val="center"/>
            <w:hideMark/>
          </w:tcPr>
          <w:p w:rsidR="006E1BDE" w:rsidRDefault="006E1BDE">
            <w:pPr>
              <w:spacing w:after="0"/>
              <w:ind w:right="3"/>
              <w:jc w:val="center"/>
              <w:rPr>
                <w:rFonts w:eastAsia="Times New Roman" w:cs="Times New Roman"/>
                <w:lang w:eastAsia="nl-BE"/>
              </w:rPr>
            </w:pPr>
          </w:p>
        </w:tc>
        <w:tc>
          <w:tcPr>
            <w:tcW w:w="1154" w:type="dxa"/>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c>
          <w:tcPr>
            <w:tcW w:w="0" w:type="auto"/>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c>
          <w:tcPr>
            <w:tcW w:w="0" w:type="auto"/>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c>
          <w:tcPr>
            <w:tcW w:w="0" w:type="auto"/>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c>
          <w:tcPr>
            <w:tcW w:w="0" w:type="auto"/>
            <w:vAlign w:val="center"/>
            <w:hideMark/>
          </w:tcPr>
          <w:p w:rsidR="006E1BDE" w:rsidRDefault="00244DD3">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r>
              <w:rPr>
                <w:rFonts w:eastAsia="Times New Roman" w:cs="Times New Roman"/>
                <w:lang w:eastAsia="nl-BE"/>
              </w:rPr>
              <w:t>Total=155.4</w:t>
            </w:r>
          </w:p>
        </w:tc>
        <w:tc>
          <w:tcPr>
            <w:tcW w:w="0" w:type="auto"/>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c>
          <w:tcPr>
            <w:tcW w:w="0" w:type="auto"/>
            <w:vAlign w:val="center"/>
            <w:hideMark/>
          </w:tcPr>
          <w:p w:rsidR="006E1BDE" w:rsidRDefault="006E1BDE">
            <w:pPr>
              <w:spacing w:after="0"/>
              <w:ind w:right="3"/>
              <w:jc w:val="center"/>
              <w:cnfStyle w:val="000000100000" w:firstRow="0" w:lastRow="0" w:firstColumn="0" w:lastColumn="0" w:oddVBand="0" w:evenVBand="0" w:oddHBand="1" w:evenHBand="0" w:firstRowFirstColumn="0" w:firstRowLastColumn="0" w:lastRowFirstColumn="0" w:lastRowLastColumn="0"/>
              <w:rPr>
                <w:rFonts w:eastAsia="Times New Roman" w:cs="Times New Roman"/>
                <w:lang w:eastAsia="nl-BE"/>
              </w:rPr>
            </w:pPr>
          </w:p>
        </w:tc>
      </w:tr>
    </w:tbl>
    <w:p w:rsidR="006E1BDE" w:rsidRDefault="006E1BDE">
      <w:pPr>
        <w:rPr>
          <w:szCs w:val="22"/>
          <w:lang w:eastAsia="sv-SE"/>
        </w:rPr>
      </w:pPr>
    </w:p>
    <w:p w:rsidR="006E1BDE" w:rsidRDefault="00244DD3">
      <w:pPr>
        <w:rPr>
          <w:szCs w:val="22"/>
          <w:lang w:eastAsia="sv-SE"/>
        </w:rPr>
      </w:pPr>
      <w:r>
        <w:rPr>
          <w:szCs w:val="22"/>
          <w:lang w:eastAsia="sv-SE"/>
        </w:rPr>
        <w:t>In addition to the above projects DG ENER provided 15 M€ for a joint call with the Directorate General for Research &amp; Innovation on Biorefineries. Thus the total ENER related funding is about 170 M€.</w:t>
      </w:r>
    </w:p>
    <w:p w:rsidR="006E1BDE" w:rsidRDefault="00244DD3">
      <w:pPr>
        <w:rPr>
          <w:szCs w:val="22"/>
          <w:lang w:eastAsia="sv-SE"/>
        </w:rPr>
      </w:pPr>
      <w:r>
        <w:rPr>
          <w:szCs w:val="22"/>
          <w:lang w:eastAsia="sv-SE"/>
        </w:rPr>
        <w:t xml:space="preserve">The above projects were the first large scale demonstration projects on advanced biofuels in the EU and in some areas (such as cellulosic ethanol) on a global scale. They were instrumental in providing the technology providers with a dedicated support for </w:t>
      </w:r>
      <w:r>
        <w:rPr>
          <w:szCs w:val="22"/>
          <w:lang w:eastAsia="sv-SE"/>
        </w:rPr>
        <w:t xml:space="preserve">FOAKs as well as a conductive environment for investing in such technologies. Comparatively seen the EC support was relative low and on average about 15-20% of the total investment. </w:t>
      </w:r>
    </w:p>
    <w:p w:rsidR="006E1BDE" w:rsidRDefault="00244DD3">
      <w:pPr>
        <w:rPr>
          <w:szCs w:val="22"/>
          <w:lang w:eastAsia="sv-SE"/>
        </w:rPr>
      </w:pPr>
      <w:r>
        <w:rPr>
          <w:szCs w:val="22"/>
          <w:lang w:eastAsia="sv-SE"/>
        </w:rPr>
        <w:t>FP7 was a very successful programme for advanced biofuels plants and it h</w:t>
      </w:r>
      <w:r>
        <w:rPr>
          <w:szCs w:val="22"/>
          <w:lang w:eastAsia="sv-SE"/>
        </w:rPr>
        <w:t>elped the EU technology developers to be the first to construct and operate FOAKs especially in the sector of cellulosic ethanol. It is also characteristic that all cellulosic ethanol plants built in the US are based on EU technology. Abengoa built the Hug</w:t>
      </w:r>
      <w:r>
        <w:rPr>
          <w:szCs w:val="22"/>
          <w:lang w:eastAsia="sv-SE"/>
        </w:rPr>
        <w:t>oton</w:t>
      </w:r>
      <w:r>
        <w:rPr>
          <w:rStyle w:val="FootnoteReference"/>
          <w:szCs w:val="22"/>
          <w:lang w:eastAsia="sv-SE"/>
        </w:rPr>
        <w:footnoteReference w:id="81"/>
      </w:r>
      <w:r>
        <w:rPr>
          <w:szCs w:val="22"/>
          <w:lang w:eastAsia="sv-SE"/>
        </w:rPr>
        <w:t xml:space="preserve"> plant (95 million litre/yr) in the US based on the results they obtained from their demonstration plant in Salamanca</w:t>
      </w:r>
      <w:r>
        <w:rPr>
          <w:rStyle w:val="FootnoteReference"/>
          <w:szCs w:val="22"/>
          <w:lang w:eastAsia="sv-SE"/>
        </w:rPr>
        <w:footnoteReference w:id="82"/>
      </w:r>
      <w:r>
        <w:rPr>
          <w:szCs w:val="22"/>
          <w:lang w:eastAsia="sv-SE"/>
        </w:rPr>
        <w:t>, Spain. The Salamanca plant was supported by the European Union’s FP6 Programme. Abengoa Bioenergy went bankrupt and the Hugoton pla</w:t>
      </w:r>
      <w:r>
        <w:rPr>
          <w:szCs w:val="22"/>
          <w:lang w:eastAsia="sv-SE"/>
        </w:rPr>
        <w:t>nt (belonging to Abengoa Bioenergy Biomass of Kansas) was sold to Synata Bio for $48.5 million</w:t>
      </w:r>
      <w:r>
        <w:rPr>
          <w:rStyle w:val="FootnoteReference"/>
          <w:szCs w:val="22"/>
          <w:lang w:eastAsia="sv-SE"/>
        </w:rPr>
        <w:footnoteReference w:id="83"/>
      </w:r>
      <w:r>
        <w:rPr>
          <w:szCs w:val="22"/>
          <w:lang w:eastAsia="sv-SE"/>
        </w:rPr>
        <w:t xml:space="preserve"> </w:t>
      </w:r>
    </w:p>
    <w:p w:rsidR="006E1BDE" w:rsidRDefault="00244DD3">
      <w:pPr>
        <w:rPr>
          <w:szCs w:val="22"/>
          <w:lang w:eastAsia="sv-SE"/>
        </w:rPr>
      </w:pPr>
      <w:r>
        <w:rPr>
          <w:szCs w:val="22"/>
          <w:lang w:eastAsia="sv-SE"/>
        </w:rPr>
        <w:t>The LIBERTY plant of the joint venture POET /DSM</w:t>
      </w:r>
      <w:r>
        <w:rPr>
          <w:rStyle w:val="FootnoteReference"/>
          <w:szCs w:val="22"/>
          <w:lang w:eastAsia="sv-SE"/>
        </w:rPr>
        <w:footnoteReference w:id="84"/>
      </w:r>
      <w:r>
        <w:rPr>
          <w:szCs w:val="22"/>
          <w:lang w:eastAsia="sv-SE"/>
        </w:rPr>
        <w:t xml:space="preserve"> is located at Emmetsburg, Iowa and produces 60,000 t/y bioethanol. It is a cooperative between these two comp</w:t>
      </w:r>
      <w:r>
        <w:rPr>
          <w:szCs w:val="22"/>
          <w:lang w:eastAsia="sv-SE"/>
        </w:rPr>
        <w:t>anies. POET</w:t>
      </w:r>
      <w:r>
        <w:rPr>
          <w:rStyle w:val="FootnoteReference"/>
          <w:szCs w:val="22"/>
          <w:lang w:eastAsia="sv-SE"/>
        </w:rPr>
        <w:footnoteReference w:id="85"/>
      </w:r>
      <w:r>
        <w:rPr>
          <w:szCs w:val="22"/>
          <w:lang w:eastAsia="sv-SE"/>
        </w:rPr>
        <w:t xml:space="preserve">, based in Sioux Falls, South Dakota, is one of the world's largest ethanol producers, with a 25-year history as an American renewable fuel pioneer. The company, with 27 grain ethanol plants, has expertise in organizing feedstock availability, </w:t>
      </w:r>
      <w:r>
        <w:rPr>
          <w:szCs w:val="22"/>
          <w:lang w:eastAsia="sv-SE"/>
        </w:rPr>
        <w:t>conditioning and storage. Royal DSM</w:t>
      </w:r>
      <w:r>
        <w:rPr>
          <w:rStyle w:val="FootnoteReference"/>
          <w:szCs w:val="22"/>
          <w:lang w:eastAsia="sv-SE"/>
        </w:rPr>
        <w:footnoteReference w:id="86"/>
      </w:r>
      <w:r>
        <w:rPr>
          <w:szCs w:val="22"/>
          <w:lang w:eastAsia="sv-SE"/>
        </w:rPr>
        <w:t>, a global science-based company active in health, nutrition and materials, has a decades-long legacy of driving environmental progress and technological advancement. DSM has a proven track record in conversion technolog</w:t>
      </w:r>
      <w:r>
        <w:rPr>
          <w:szCs w:val="22"/>
          <w:lang w:eastAsia="sv-SE"/>
        </w:rPr>
        <w:t xml:space="preserve">ies (yeast and enzymes) for cellulosic biomass to ethanol. DSM has the technology that can co-ferment all C6 and C5 sugars (xylose &amp; arabinose). </w:t>
      </w:r>
    </w:p>
    <w:p w:rsidR="006E1BDE" w:rsidRDefault="00244DD3">
      <w:pPr>
        <w:rPr>
          <w:szCs w:val="22"/>
          <w:lang w:eastAsia="sv-SE"/>
        </w:rPr>
      </w:pPr>
      <w:r>
        <w:rPr>
          <w:szCs w:val="22"/>
          <w:lang w:eastAsia="sv-SE"/>
        </w:rPr>
        <w:t>DuPont</w:t>
      </w:r>
      <w:r>
        <w:rPr>
          <w:rStyle w:val="FootnoteReference"/>
          <w:szCs w:val="22"/>
          <w:lang w:eastAsia="sv-SE"/>
        </w:rPr>
        <w:footnoteReference w:id="87"/>
      </w:r>
      <w:r>
        <w:rPr>
          <w:szCs w:val="22"/>
          <w:lang w:eastAsia="sv-SE"/>
        </w:rPr>
        <w:t xml:space="preserve"> built the cellulosic ethanol plant in Nevada Iowa with a production capacity of about 90,000 t/y bioet</w:t>
      </w:r>
      <w:r>
        <w:rPr>
          <w:szCs w:val="22"/>
          <w:lang w:eastAsia="sv-SE"/>
        </w:rPr>
        <w:t xml:space="preserve">hanol produced from </w:t>
      </w:r>
      <w:r>
        <w:rPr>
          <w:szCs w:val="22"/>
        </w:rPr>
        <w:t>about 350,000 dry tonnes of corn stover</w:t>
      </w:r>
      <w:r>
        <w:rPr>
          <w:szCs w:val="22"/>
          <w:lang w:eastAsia="sv-SE"/>
        </w:rPr>
        <w:t>. However DuPont didn’t have in-house expertise and in order to obtain the technology related to enzymes and yeasts it bought the Danish company Danesco with its Genecor</w:t>
      </w:r>
      <w:r>
        <w:rPr>
          <w:rStyle w:val="FootnoteReference"/>
          <w:szCs w:val="22"/>
          <w:lang w:eastAsia="sv-SE"/>
        </w:rPr>
        <w:footnoteReference w:id="88"/>
      </w:r>
      <w:r>
        <w:rPr>
          <w:szCs w:val="22"/>
          <w:lang w:eastAsia="sv-SE"/>
        </w:rPr>
        <w:t xml:space="preserve"> division which was a leade</w:t>
      </w:r>
      <w:r>
        <w:rPr>
          <w:szCs w:val="22"/>
          <w:lang w:eastAsia="sv-SE"/>
        </w:rPr>
        <w:t>r in this field. However in November 2017 DuPont decided to close the facility and to try and find a buyer</w:t>
      </w:r>
      <w:r>
        <w:rPr>
          <w:rStyle w:val="FootnoteReference"/>
          <w:szCs w:val="22"/>
          <w:lang w:eastAsia="sv-SE"/>
        </w:rPr>
        <w:footnoteReference w:id="89"/>
      </w:r>
      <w:r>
        <w:rPr>
          <w:szCs w:val="22"/>
          <w:lang w:eastAsia="sv-SE"/>
        </w:rPr>
        <w:t>.</w:t>
      </w:r>
    </w:p>
    <w:p w:rsidR="006E1BDE" w:rsidRDefault="00244DD3">
      <w:pPr>
        <w:rPr>
          <w:szCs w:val="22"/>
          <w:lang w:eastAsia="sv-SE"/>
        </w:rPr>
      </w:pPr>
      <w:r>
        <w:rPr>
          <w:szCs w:val="22"/>
          <w:lang w:eastAsia="sv-SE"/>
        </w:rPr>
        <w:t>The only technology area that failed to make any significant progress is that of synthetic biofuels and especially the Fischer-Tropsch (FT) value c</w:t>
      </w:r>
      <w:r>
        <w:rPr>
          <w:szCs w:val="22"/>
          <w:lang w:eastAsia="sv-SE"/>
        </w:rPr>
        <w:t>hain. The OPTFUEL</w:t>
      </w:r>
      <w:r>
        <w:rPr>
          <w:rStyle w:val="FootnoteReference"/>
          <w:szCs w:val="22"/>
          <w:lang w:eastAsia="sv-SE"/>
        </w:rPr>
        <w:footnoteReference w:id="90"/>
      </w:r>
      <w:r>
        <w:rPr>
          <w:szCs w:val="22"/>
          <w:lang w:eastAsia="sv-SE"/>
        </w:rPr>
        <w:t xml:space="preserve"> project had to be stopped and although the plant was able to produce FT fuel CHOREN</w:t>
      </w:r>
      <w:r>
        <w:rPr>
          <w:rStyle w:val="FootnoteReference"/>
          <w:szCs w:val="22"/>
          <w:lang w:eastAsia="sv-SE"/>
        </w:rPr>
        <w:footnoteReference w:id="91"/>
      </w:r>
      <w:r>
        <w:rPr>
          <w:szCs w:val="22"/>
          <w:lang w:eastAsia="sv-SE"/>
        </w:rPr>
        <w:t>, the technology provider, went into bankruptcy</w:t>
      </w:r>
      <w:r>
        <w:rPr>
          <w:rStyle w:val="FootnoteReference"/>
          <w:szCs w:val="22"/>
          <w:lang w:eastAsia="sv-SE"/>
        </w:rPr>
        <w:footnoteReference w:id="92"/>
      </w:r>
      <w:r>
        <w:rPr>
          <w:szCs w:val="22"/>
          <w:lang w:eastAsia="sv-SE"/>
        </w:rPr>
        <w:t xml:space="preserve">. </w:t>
      </w:r>
    </w:p>
    <w:p w:rsidR="006E1BDE" w:rsidRDefault="00244DD3">
      <w:pPr>
        <w:pStyle w:val="Heading4"/>
        <w:rPr>
          <w:sz w:val="22"/>
          <w:szCs w:val="22"/>
        </w:rPr>
      </w:pPr>
      <w:r>
        <w:rPr>
          <w:sz w:val="22"/>
          <w:szCs w:val="22"/>
        </w:rPr>
        <w:t>Participation of Indian Organisations in FP7</w:t>
      </w:r>
    </w:p>
    <w:p w:rsidR="006E1BDE" w:rsidRDefault="00244DD3">
      <w:pPr>
        <w:rPr>
          <w:szCs w:val="22"/>
          <w:lang w:eastAsia="sv-SE"/>
        </w:rPr>
      </w:pPr>
      <w:r>
        <w:rPr>
          <w:szCs w:val="22"/>
          <w:lang w:eastAsia="sv-SE"/>
        </w:rPr>
        <w:t xml:space="preserve">India participated in 181 FP7 projects and the European </w:t>
      </w:r>
      <w:r>
        <w:rPr>
          <w:szCs w:val="22"/>
          <w:lang w:eastAsia="sv-SE"/>
        </w:rPr>
        <w:t>Commission's contribution received by Indian participants was about €35.8m during the FP7. The participation of India in the 7th Framework Programme increased significantly when compared to previous frameworks. The number of India's participants rose to 14</w:t>
      </w:r>
      <w:r>
        <w:rPr>
          <w:szCs w:val="22"/>
          <w:lang w:eastAsia="sv-SE"/>
        </w:rPr>
        <w:t>2 in FP6 (2002-2006) and more than doubled in FP7 (2007-2013) which counted 305 participants. The highest degree of cooperation is in the Health and Knowledge-Based Bio-Economy areas. Other active cooperation areas are Environment, Security and Social Scie</w:t>
      </w:r>
      <w:r>
        <w:rPr>
          <w:szCs w:val="22"/>
          <w:lang w:eastAsia="sv-SE"/>
        </w:rPr>
        <w:t>nces and Humanities</w:t>
      </w:r>
      <w:r>
        <w:rPr>
          <w:rStyle w:val="FootnoteReference"/>
          <w:szCs w:val="22"/>
          <w:lang w:eastAsia="sv-SE"/>
        </w:rPr>
        <w:footnoteReference w:id="93"/>
      </w:r>
      <w:r>
        <w:rPr>
          <w:szCs w:val="22"/>
          <w:lang w:eastAsia="sv-SE"/>
        </w:rPr>
        <w:t>.</w:t>
      </w:r>
    </w:p>
    <w:p w:rsidR="006E1BDE" w:rsidRDefault="00244DD3">
      <w:pPr>
        <w:pStyle w:val="Heading3"/>
        <w:rPr>
          <w:szCs w:val="22"/>
        </w:rPr>
      </w:pPr>
      <w:bookmarkStart w:id="54" w:name="_Toc516598371"/>
      <w:r>
        <w:rPr>
          <w:szCs w:val="22"/>
        </w:rPr>
        <w:t>Horizon 2020 (H2020)</w:t>
      </w:r>
      <w:bookmarkEnd w:id="54"/>
    </w:p>
    <w:p w:rsidR="006E1BDE" w:rsidRDefault="00244DD3">
      <w:pPr>
        <w:rPr>
          <w:szCs w:val="22"/>
          <w:lang w:eastAsia="sv-SE"/>
        </w:rPr>
      </w:pPr>
      <w:r>
        <w:rPr>
          <w:szCs w:val="22"/>
          <w:lang w:eastAsia="sv-SE"/>
        </w:rPr>
        <w:t>The 8</w:t>
      </w:r>
      <w:r>
        <w:rPr>
          <w:szCs w:val="22"/>
          <w:vertAlign w:val="superscript"/>
          <w:lang w:eastAsia="sv-SE"/>
        </w:rPr>
        <w:t>th</w:t>
      </w:r>
      <w:r>
        <w:rPr>
          <w:szCs w:val="22"/>
          <w:lang w:eastAsia="sv-SE"/>
        </w:rPr>
        <w:t xml:space="preserve"> Framework Programme of the European Community for research, technological development and demonstration activities was given the acronym Horizon 2020 and is being implemented over the period 2014-2020 (H2020)</w:t>
      </w:r>
      <w:r>
        <w:rPr>
          <w:rStyle w:val="FootnoteReference"/>
          <w:szCs w:val="22"/>
          <w:lang w:eastAsia="sv-SE"/>
        </w:rPr>
        <w:footnoteReference w:id="94"/>
      </w:r>
      <w:r>
        <w:rPr>
          <w:szCs w:val="22"/>
          <w:lang w:eastAsia="sv-SE"/>
        </w:rPr>
        <w:t>.</w:t>
      </w:r>
      <w:r>
        <w:rPr>
          <w:szCs w:val="22"/>
        </w:rPr>
        <w:t xml:space="preserve"> </w:t>
      </w:r>
      <w:r>
        <w:rPr>
          <w:szCs w:val="22"/>
          <w:lang w:eastAsia="sv-SE"/>
        </w:rPr>
        <w:t>A budget of €5 931 million has been allocate</w:t>
      </w:r>
      <w:r>
        <w:rPr>
          <w:szCs w:val="22"/>
          <w:lang w:eastAsia="sv-SE"/>
        </w:rPr>
        <w:t>d to non-nuclear energy research for the period 2014-2020.</w:t>
      </w:r>
    </w:p>
    <w:p w:rsidR="006E1BDE" w:rsidRDefault="00244DD3">
      <w:pPr>
        <w:rPr>
          <w:szCs w:val="22"/>
          <w:lang w:eastAsia="sv-SE"/>
        </w:rPr>
      </w:pPr>
      <w:r>
        <w:rPr>
          <w:szCs w:val="22"/>
          <w:lang w:eastAsia="sv-SE"/>
        </w:rPr>
        <w:t>Horizon 2020 is the biggest EU Research and Innovation programme ever with nearly €80 billion of funding available over 7 years (2014 to 2020) – in addition to the private investment that this mone</w:t>
      </w:r>
      <w:r>
        <w:rPr>
          <w:szCs w:val="22"/>
          <w:lang w:eastAsia="sv-SE"/>
        </w:rPr>
        <w:t>y will attract. It promises more breakthroughs, discoveries and world-firsts by taking great ideas from the lab to the market. Energy is addressed under the “Energy Challenge” and the programme is designed to support the transition to a reliable, sustainab</w:t>
      </w:r>
      <w:r>
        <w:rPr>
          <w:szCs w:val="22"/>
          <w:lang w:eastAsia="sv-SE"/>
        </w:rPr>
        <w:t>le and competitive energy system. 3 work programmes have been prepared:</w:t>
      </w:r>
    </w:p>
    <w:p w:rsidR="006E1BDE" w:rsidRDefault="00244DD3">
      <w:pPr>
        <w:pStyle w:val="ListParagraph"/>
        <w:ind w:left="572" w:hanging="215"/>
        <w:rPr>
          <w:szCs w:val="22"/>
          <w:lang w:eastAsia="sv-SE"/>
        </w:rPr>
      </w:pPr>
      <w:r>
        <w:rPr>
          <w:szCs w:val="22"/>
          <w:lang w:eastAsia="sv-SE"/>
        </w:rPr>
        <w:t>Work Programme 2014-2015</w:t>
      </w:r>
      <w:r>
        <w:rPr>
          <w:rStyle w:val="FootnoteReference"/>
          <w:szCs w:val="22"/>
          <w:lang w:eastAsia="sv-SE"/>
        </w:rPr>
        <w:footnoteReference w:id="95"/>
      </w:r>
    </w:p>
    <w:p w:rsidR="006E1BDE" w:rsidRDefault="00244DD3">
      <w:pPr>
        <w:pStyle w:val="ListParagraph"/>
        <w:ind w:left="572" w:hanging="215"/>
        <w:rPr>
          <w:szCs w:val="22"/>
          <w:lang w:eastAsia="sv-SE"/>
        </w:rPr>
      </w:pPr>
      <w:r>
        <w:rPr>
          <w:szCs w:val="22"/>
          <w:lang w:eastAsia="sv-SE"/>
        </w:rPr>
        <w:t>Work Programme 2016-2017</w:t>
      </w:r>
      <w:r>
        <w:rPr>
          <w:rStyle w:val="FootnoteReference"/>
          <w:szCs w:val="22"/>
          <w:lang w:eastAsia="sv-SE"/>
        </w:rPr>
        <w:footnoteReference w:id="96"/>
      </w:r>
    </w:p>
    <w:p w:rsidR="006E1BDE" w:rsidRDefault="00244DD3">
      <w:pPr>
        <w:pStyle w:val="ListParagraph"/>
        <w:ind w:left="572" w:hanging="215"/>
        <w:rPr>
          <w:szCs w:val="22"/>
          <w:lang w:eastAsia="sv-SE"/>
        </w:rPr>
      </w:pPr>
      <w:r>
        <w:rPr>
          <w:szCs w:val="22"/>
          <w:lang w:eastAsia="sv-SE"/>
        </w:rPr>
        <w:t>Work Programme 2018-2020</w:t>
      </w:r>
      <w:r>
        <w:rPr>
          <w:rStyle w:val="FootnoteReference"/>
          <w:szCs w:val="22"/>
          <w:lang w:eastAsia="sv-SE"/>
        </w:rPr>
        <w:footnoteReference w:id="97"/>
      </w:r>
    </w:p>
    <w:p w:rsidR="006E1BDE" w:rsidRDefault="00244DD3">
      <w:pPr>
        <w:rPr>
          <w:szCs w:val="22"/>
          <w:lang w:eastAsia="sv-SE"/>
        </w:rPr>
      </w:pPr>
      <w:r>
        <w:rPr>
          <w:szCs w:val="22"/>
          <w:lang w:eastAsia="sv-SE"/>
        </w:rPr>
        <w:t>In the last Work Programme the parts that relate to 2019 and 2020 are provided at this stage on an indicat</w:t>
      </w:r>
      <w:r>
        <w:rPr>
          <w:szCs w:val="22"/>
          <w:lang w:eastAsia="sv-SE"/>
        </w:rPr>
        <w:t>ive basis. These will be decided during 2018 and/or 2019.</w:t>
      </w:r>
    </w:p>
    <w:p w:rsidR="006E1BDE" w:rsidRDefault="00244DD3">
      <w:pPr>
        <w:rPr>
          <w:szCs w:val="22"/>
          <w:lang w:eastAsia="sv-SE"/>
        </w:rPr>
      </w:pPr>
      <w:r>
        <w:rPr>
          <w:szCs w:val="22"/>
          <w:lang w:eastAsia="sv-SE"/>
        </w:rPr>
        <w:t>On every year there are call related to advanced biofuels; for example for 2018 the following Call Topics can be found:</w:t>
      </w:r>
    </w:p>
    <w:p w:rsidR="006E1BDE" w:rsidRDefault="00244DD3">
      <w:pPr>
        <w:pStyle w:val="ListParagraph"/>
        <w:ind w:left="572" w:hanging="215"/>
        <w:rPr>
          <w:szCs w:val="22"/>
          <w:lang w:eastAsia="sv-SE"/>
        </w:rPr>
      </w:pPr>
      <w:r>
        <w:rPr>
          <w:szCs w:val="22"/>
          <w:lang w:eastAsia="sv-SE"/>
        </w:rPr>
        <w:t xml:space="preserve">LC-SC3-RES-21-2018: </w:t>
      </w:r>
      <w:r>
        <w:rPr>
          <w:i/>
          <w:szCs w:val="22"/>
          <w:lang w:eastAsia="sv-SE"/>
        </w:rPr>
        <w:t>Development of next generation biofuels and alternative re</w:t>
      </w:r>
      <w:r>
        <w:rPr>
          <w:i/>
          <w:szCs w:val="22"/>
          <w:lang w:eastAsia="sv-SE"/>
        </w:rPr>
        <w:t>newable fuel technologies for road transport</w:t>
      </w:r>
      <w:r>
        <w:rPr>
          <w:szCs w:val="22"/>
          <w:lang w:eastAsia="sv-SE"/>
        </w:rPr>
        <w:t>; (page 67 in footnote 54)</w:t>
      </w:r>
    </w:p>
    <w:p w:rsidR="006E1BDE" w:rsidRDefault="00244DD3">
      <w:pPr>
        <w:pStyle w:val="ListParagraph"/>
        <w:ind w:left="572" w:hanging="215"/>
        <w:rPr>
          <w:szCs w:val="22"/>
          <w:lang w:eastAsia="sv-SE"/>
        </w:rPr>
      </w:pPr>
      <w:r>
        <w:rPr>
          <w:szCs w:val="22"/>
          <w:lang w:eastAsia="sv-SE"/>
        </w:rPr>
        <w:t xml:space="preserve">LC-SC3-RES-22-2018: </w:t>
      </w:r>
      <w:r>
        <w:rPr>
          <w:i/>
          <w:szCs w:val="22"/>
          <w:lang w:eastAsia="sv-SE"/>
        </w:rPr>
        <w:t>Demonstration of cost effective advanced biofuel pathways in retrofitted existing industrial installations</w:t>
      </w:r>
      <w:r>
        <w:rPr>
          <w:szCs w:val="22"/>
          <w:lang w:eastAsia="sv-SE"/>
        </w:rPr>
        <w:t>; (page 67 in footnote 54)</w:t>
      </w:r>
    </w:p>
    <w:p w:rsidR="006E1BDE" w:rsidRDefault="00244DD3">
      <w:pPr>
        <w:rPr>
          <w:szCs w:val="22"/>
          <w:lang w:eastAsia="sv-SE"/>
        </w:rPr>
      </w:pPr>
      <w:r>
        <w:rPr>
          <w:szCs w:val="22"/>
          <w:lang w:eastAsia="sv-SE"/>
        </w:rPr>
        <w:t>While for 2019 the following Cal</w:t>
      </w:r>
      <w:r>
        <w:rPr>
          <w:szCs w:val="22"/>
          <w:lang w:eastAsia="sv-SE"/>
        </w:rPr>
        <w:t>l Topics have been planned:</w:t>
      </w:r>
    </w:p>
    <w:p w:rsidR="006E1BDE" w:rsidRDefault="00244DD3">
      <w:pPr>
        <w:pStyle w:val="ListParagraph"/>
        <w:ind w:left="572" w:hanging="215"/>
        <w:rPr>
          <w:szCs w:val="22"/>
          <w:lang w:eastAsia="sv-SE"/>
        </w:rPr>
      </w:pPr>
      <w:r>
        <w:rPr>
          <w:szCs w:val="22"/>
          <w:lang w:eastAsia="sv-SE"/>
        </w:rPr>
        <w:t xml:space="preserve">LC-SC3-RES-23-2019: </w:t>
      </w:r>
      <w:r>
        <w:rPr>
          <w:i/>
          <w:szCs w:val="22"/>
          <w:lang w:eastAsia="sv-SE"/>
        </w:rPr>
        <w:t>Development of next generation biofuel and alternative renewable fuel technologies for aviation and shipping</w:t>
      </w:r>
      <w:r>
        <w:rPr>
          <w:szCs w:val="22"/>
          <w:lang w:eastAsia="sv-SE"/>
        </w:rPr>
        <w:t>; (page 68 in footnote 54)</w:t>
      </w:r>
    </w:p>
    <w:p w:rsidR="006E1BDE" w:rsidRDefault="00244DD3">
      <w:pPr>
        <w:pStyle w:val="ListParagraph"/>
        <w:ind w:left="572" w:hanging="215"/>
        <w:rPr>
          <w:szCs w:val="22"/>
          <w:lang w:eastAsia="sv-SE"/>
        </w:rPr>
      </w:pPr>
      <w:r>
        <w:rPr>
          <w:szCs w:val="22"/>
          <w:lang w:eastAsia="sv-SE"/>
        </w:rPr>
        <w:t>LC-SC3-RES-24-2019: Boosting pre-commercial production of advanced aviati</w:t>
      </w:r>
      <w:r>
        <w:rPr>
          <w:szCs w:val="22"/>
          <w:lang w:eastAsia="sv-SE"/>
        </w:rPr>
        <w:t>on biofuels; (page 69 in footnote 54)</w:t>
      </w:r>
    </w:p>
    <w:p w:rsidR="006E1BDE" w:rsidRDefault="00244DD3">
      <w:pPr>
        <w:rPr>
          <w:szCs w:val="22"/>
          <w:lang w:eastAsia="sv-SE"/>
        </w:rPr>
      </w:pPr>
      <w:r>
        <w:rPr>
          <w:szCs w:val="22"/>
          <w:lang w:eastAsia="sv-SE"/>
        </w:rPr>
        <w:t>In addition to these Call Topics that are dedicated to innovative technologies there are other addressing the innovative transport solution in cities under the Smart Cities area (see page 95 in footnote 54); however, t</w:t>
      </w:r>
      <w:r>
        <w:rPr>
          <w:szCs w:val="22"/>
          <w:lang w:eastAsia="sv-SE"/>
        </w:rPr>
        <w:t>here are out of scope for this study.</w:t>
      </w:r>
    </w:p>
    <w:p w:rsidR="006E1BDE" w:rsidRDefault="00244DD3">
      <w:pPr>
        <w:rPr>
          <w:szCs w:val="22"/>
          <w:lang w:eastAsia="sv-SE"/>
        </w:rPr>
      </w:pPr>
      <w:r>
        <w:rPr>
          <w:szCs w:val="22"/>
          <w:lang w:eastAsia="sv-SE"/>
        </w:rPr>
        <w:t>Finally in Section B of the Work Programme there several studies related to advanced biofuels have been proposed to be undertaken via open tender calls, for example:</w:t>
      </w:r>
    </w:p>
    <w:p w:rsidR="006E1BDE" w:rsidRDefault="00244DD3">
      <w:pPr>
        <w:pStyle w:val="ListParagraph"/>
        <w:ind w:left="572" w:hanging="215"/>
        <w:rPr>
          <w:szCs w:val="22"/>
          <w:lang w:eastAsia="sv-SE"/>
        </w:rPr>
      </w:pPr>
      <w:r>
        <w:rPr>
          <w:szCs w:val="22"/>
          <w:lang w:eastAsia="sv-SE"/>
        </w:rPr>
        <w:t>Support for policy and market development for altern</w:t>
      </w:r>
      <w:r>
        <w:rPr>
          <w:szCs w:val="22"/>
          <w:lang w:eastAsia="sv-SE"/>
        </w:rPr>
        <w:t>ative and renewable transport fuels and products (page 166 in footnote 54).</w:t>
      </w:r>
    </w:p>
    <w:p w:rsidR="006E1BDE" w:rsidRDefault="00244DD3">
      <w:pPr>
        <w:rPr>
          <w:szCs w:val="22"/>
          <w:lang w:eastAsia="sv-SE"/>
        </w:rPr>
      </w:pPr>
      <w:r>
        <w:rPr>
          <w:szCs w:val="22"/>
          <w:lang w:eastAsia="sv-SE"/>
        </w:rPr>
        <w:t>Also under Section B there are dedicated Calls for standardization work under the European Centre for Standardisation (CEN), for example:</w:t>
      </w:r>
    </w:p>
    <w:p w:rsidR="006E1BDE" w:rsidRDefault="00244DD3">
      <w:pPr>
        <w:pStyle w:val="ListParagraph"/>
        <w:ind w:left="572" w:hanging="215"/>
        <w:rPr>
          <w:szCs w:val="22"/>
          <w:lang w:eastAsia="sv-SE"/>
        </w:rPr>
      </w:pPr>
      <w:r>
        <w:rPr>
          <w:szCs w:val="22"/>
          <w:lang w:eastAsia="sv-SE"/>
        </w:rPr>
        <w:t>Standardisation request to the CEN for alg</w:t>
      </w:r>
      <w:r>
        <w:rPr>
          <w:szCs w:val="22"/>
          <w:lang w:eastAsia="sv-SE"/>
        </w:rPr>
        <w:t>ae and algae-based products in support of the implementation of the RED II (page 181 in footnote 54).</w:t>
      </w:r>
    </w:p>
    <w:p w:rsidR="006E1BDE" w:rsidRDefault="00244DD3">
      <w:pPr>
        <w:rPr>
          <w:szCs w:val="22"/>
          <w:lang w:eastAsia="sv-SE"/>
        </w:rPr>
      </w:pPr>
      <w:r>
        <w:rPr>
          <w:szCs w:val="22"/>
          <w:lang w:eastAsia="sv-SE"/>
        </w:rPr>
        <w:t xml:space="preserve">However, due to the structure of the Call Topics and the overall strategy of H2020 no large scale demonstration project have been proposed yet. Therefore </w:t>
      </w:r>
      <w:r>
        <w:rPr>
          <w:szCs w:val="22"/>
          <w:lang w:eastAsia="sv-SE"/>
        </w:rPr>
        <w:t xml:space="preserve">although H2020 has contributed significantly to research and innovation for the TRL 1-7, little has been achieved for large industry scale demonstration projects in the TLR 8-9. </w:t>
      </w:r>
    </w:p>
    <w:p w:rsidR="006E1BDE" w:rsidRDefault="00244DD3">
      <w:pPr>
        <w:pStyle w:val="Heading4"/>
        <w:rPr>
          <w:sz w:val="22"/>
          <w:szCs w:val="22"/>
          <w:lang w:eastAsia="sv-SE"/>
        </w:rPr>
      </w:pPr>
      <w:r>
        <w:rPr>
          <w:sz w:val="22"/>
          <w:szCs w:val="22"/>
          <w:lang w:eastAsia="sv-SE"/>
        </w:rPr>
        <w:t>Bio-based Industries Joint Undertaking</w:t>
      </w:r>
    </w:p>
    <w:p w:rsidR="006E1BDE" w:rsidRDefault="00244DD3">
      <w:pPr>
        <w:rPr>
          <w:szCs w:val="22"/>
        </w:rPr>
      </w:pPr>
      <w:r>
        <w:rPr>
          <w:szCs w:val="22"/>
        </w:rPr>
        <w:t>The Bio-Based Industries Joint Underta</w:t>
      </w:r>
      <w:r>
        <w:rPr>
          <w:szCs w:val="22"/>
        </w:rPr>
        <w:t>king</w:t>
      </w:r>
      <w:r>
        <w:rPr>
          <w:rStyle w:val="FootnoteReference"/>
          <w:b/>
          <w:szCs w:val="22"/>
        </w:rPr>
        <w:footnoteReference w:id="98"/>
      </w:r>
      <w:r>
        <w:rPr>
          <w:szCs w:val="22"/>
        </w:rPr>
        <w:t xml:space="preserve"> (BBI JU) is a €3.7 billion Public-Private Partnership between the EU and the Bio-based Industries Consortium. It was established by Council Regulation (EU) No 560/2014 of 6 May 2014. </w:t>
      </w:r>
    </w:p>
    <w:p w:rsidR="006E1BDE" w:rsidRDefault="00244DD3">
      <w:pPr>
        <w:rPr>
          <w:szCs w:val="22"/>
        </w:rPr>
      </w:pPr>
      <w:r>
        <w:rPr>
          <w:szCs w:val="22"/>
        </w:rPr>
        <w:t>It operates under Horizon 2020, with a total budget of 3.7 billion</w:t>
      </w:r>
      <w:r>
        <w:rPr>
          <w:szCs w:val="22"/>
        </w:rPr>
        <w:t xml:space="preserve"> € which is expected to be allocated to innovative investments in the area of the bioeconomy. This budget consist of 975 million € of EU funds provided by the Horizon 2020 programme and 2.7 billion € of private investments form the participating stakeholde</w:t>
      </w:r>
      <w:r>
        <w:rPr>
          <w:szCs w:val="22"/>
        </w:rPr>
        <w:t>rs. Furthermore the BBI JU will be leveraging capital markets aiming to attract additional private and public funds (e.g. synergies with EU Structural Funds</w:t>
      </w:r>
      <w:r>
        <w:rPr>
          <w:rStyle w:val="FootnoteReference"/>
          <w:szCs w:val="22"/>
        </w:rPr>
        <w:footnoteReference w:id="99"/>
      </w:r>
      <w:r>
        <w:rPr>
          <w:szCs w:val="22"/>
        </w:rPr>
        <w:t>).</w:t>
      </w:r>
    </w:p>
    <w:p w:rsidR="006E1BDE" w:rsidRDefault="00244DD3">
      <w:pPr>
        <w:rPr>
          <w:szCs w:val="22"/>
        </w:rPr>
      </w:pPr>
      <w:r>
        <w:rPr>
          <w:szCs w:val="22"/>
        </w:rPr>
        <w:t xml:space="preserve">The BBI JU's mission is to implement, under Horizon 2020 rules, the Strategic Innovation and </w:t>
      </w:r>
      <w:r>
        <w:rPr>
          <w:szCs w:val="22"/>
        </w:rPr>
        <w:t>Research Agenda (SIRA)</w:t>
      </w:r>
      <w:r>
        <w:rPr>
          <w:rStyle w:val="FootnoteReference"/>
          <w:szCs w:val="22"/>
        </w:rPr>
        <w:footnoteReference w:id="100"/>
      </w:r>
      <w:r>
        <w:rPr>
          <w:szCs w:val="22"/>
        </w:rPr>
        <w:t xml:space="preserve"> which was developed by the industry and validated by the European Commission. BBI JU organises Calls for proposals to support research, demonstration and deployment activities enabling the collaboration between stakeholders along th</w:t>
      </w:r>
      <w:r>
        <w:rPr>
          <w:szCs w:val="22"/>
        </w:rPr>
        <w:t>e entire value chains covering primary production of biomass, processing industry and final use. Numerous projects have been supported by the BBI JU</w:t>
      </w:r>
      <w:r>
        <w:rPr>
          <w:rStyle w:val="FootnoteReference"/>
          <w:szCs w:val="22"/>
        </w:rPr>
        <w:footnoteReference w:id="101"/>
      </w:r>
      <w:r>
        <w:rPr>
          <w:szCs w:val="22"/>
        </w:rPr>
        <w:t xml:space="preserve"> and these will accelerate the deployment of innovative technologies in the EU.</w:t>
      </w:r>
    </w:p>
    <w:p w:rsidR="006E1BDE" w:rsidRDefault="00244DD3">
      <w:pPr>
        <w:pStyle w:val="Heading4"/>
        <w:rPr>
          <w:sz w:val="22"/>
          <w:szCs w:val="22"/>
          <w:lang w:eastAsia="sv-SE"/>
        </w:rPr>
      </w:pPr>
      <w:r>
        <w:rPr>
          <w:sz w:val="22"/>
          <w:szCs w:val="22"/>
          <w:lang w:eastAsia="sv-SE"/>
        </w:rPr>
        <w:t>Participation of Indian Org</w:t>
      </w:r>
      <w:r>
        <w:rPr>
          <w:sz w:val="22"/>
          <w:szCs w:val="22"/>
          <w:lang w:eastAsia="sv-SE"/>
        </w:rPr>
        <w:t>anisations in H2020</w:t>
      </w:r>
    </w:p>
    <w:p w:rsidR="006E1BDE" w:rsidRDefault="00244DD3">
      <w:pPr>
        <w:rPr>
          <w:szCs w:val="22"/>
          <w:lang w:eastAsia="sv-SE"/>
        </w:rPr>
      </w:pPr>
      <w:r>
        <w:rPr>
          <w:szCs w:val="22"/>
          <w:lang w:eastAsia="sv-SE"/>
        </w:rPr>
        <w:t>Indian researchers, universities, research organisations and enterprises are able to team up with any European partners to participate in projects under Horizon 2020 and make the best use of Europe’s scientific excellence</w:t>
      </w:r>
      <w:r>
        <w:rPr>
          <w:rStyle w:val="FootnoteReference"/>
          <w:szCs w:val="22"/>
          <w:lang w:eastAsia="sv-SE"/>
        </w:rPr>
        <w:footnoteReference w:id="102"/>
      </w:r>
      <w:r>
        <w:rPr>
          <w:szCs w:val="22"/>
          <w:lang w:eastAsia="sv-SE"/>
        </w:rPr>
        <w:t>. Through part</w:t>
      </w:r>
      <w:r>
        <w:rPr>
          <w:szCs w:val="22"/>
          <w:lang w:eastAsia="sv-SE"/>
        </w:rPr>
        <w:t>icipation in Horizon 2020, Indian participants can gain great benefits from access to excellent talent, knowledge, data and infrastructures and connection to world-leading teams, networks and value chains.</w:t>
      </w:r>
    </w:p>
    <w:p w:rsidR="006E1BDE" w:rsidRDefault="00244DD3">
      <w:pPr>
        <w:rPr>
          <w:szCs w:val="22"/>
          <w:lang w:eastAsia="sv-SE"/>
        </w:rPr>
      </w:pPr>
      <w:r>
        <w:rPr>
          <w:szCs w:val="22"/>
          <w:lang w:eastAsia="sv-SE"/>
        </w:rPr>
        <w:t xml:space="preserve">As to funding, participants from India, just like </w:t>
      </w:r>
      <w:r>
        <w:rPr>
          <w:szCs w:val="22"/>
          <w:lang w:eastAsia="sv-SE"/>
        </w:rPr>
        <w:t xml:space="preserve">the other emerging economies (BRIC) are no longer automatically eligible for funding. Indian participants have therefore to find the financial resources for their participation in Horizon 2020 collaborative projects. These could be own funds or funds from </w:t>
      </w:r>
      <w:r>
        <w:rPr>
          <w:szCs w:val="22"/>
          <w:lang w:eastAsia="sv-SE"/>
        </w:rPr>
        <w:t>Indian ministries, foundations and other organisations that fund international research and innovation activities. Contributions can also be made in kind. In exceptional circumstances, funding can be received by H2020 directly if the participation of an In</w:t>
      </w:r>
      <w:r>
        <w:rPr>
          <w:szCs w:val="22"/>
          <w:lang w:eastAsia="sv-SE"/>
        </w:rPr>
        <w:t>dian organisation is essential for the execution of the project.</w:t>
      </w:r>
    </w:p>
    <w:p w:rsidR="006E1BDE" w:rsidRDefault="00244DD3">
      <w:pPr>
        <w:rPr>
          <w:szCs w:val="22"/>
          <w:lang w:eastAsia="sv-SE"/>
        </w:rPr>
      </w:pPr>
      <w:r>
        <w:rPr>
          <w:szCs w:val="22"/>
          <w:lang w:eastAsia="sv-SE"/>
        </w:rPr>
        <w:t xml:space="preserve">For this purpose, the Indian Department of Science (DST), the Indian Department of Biotechnology (DBT) and the Ministry of Earth Sciences (MoES) have established a Co-Funding Mechanism (CFM) </w:t>
      </w:r>
      <w:r>
        <w:rPr>
          <w:szCs w:val="22"/>
          <w:lang w:eastAsia="sv-SE"/>
        </w:rPr>
        <w:t xml:space="preserve">to fund the successful Indian participants in a number of pre-identified calls of proposals. The detailed information on the co-funding modalities for Indian researchers, can be found on DBT website: </w:t>
      </w:r>
      <w:hyperlink r:id="rId15" w:history="1">
        <w:r>
          <w:rPr>
            <w:rStyle w:val="Hyperlink"/>
            <w:szCs w:val="22"/>
            <w:lang w:eastAsia="sv-SE"/>
          </w:rPr>
          <w:t>http://www.dbtindia.nic.in/dbt-ec_h2020_call_2017-18/</w:t>
        </w:r>
      </w:hyperlink>
      <w:r>
        <w:rPr>
          <w:szCs w:val="22"/>
          <w:lang w:eastAsia="sv-SE"/>
        </w:rPr>
        <w:t xml:space="preserve">. </w:t>
      </w:r>
    </w:p>
    <w:p w:rsidR="006E1BDE" w:rsidRDefault="00244DD3">
      <w:pPr>
        <w:rPr>
          <w:szCs w:val="22"/>
          <w:lang w:eastAsia="sv-SE"/>
        </w:rPr>
      </w:pPr>
      <w:r>
        <w:rPr>
          <w:szCs w:val="22"/>
          <w:lang w:eastAsia="sv-SE"/>
        </w:rPr>
        <w:t>At present there is a Call for proposals open on the topic “</w:t>
      </w:r>
      <w:r>
        <w:rPr>
          <w:i/>
          <w:szCs w:val="22"/>
          <w:lang w:eastAsia="sv-SE"/>
        </w:rPr>
        <w:t>Demonstration of cost effective advanced biofuel pathways in retrofitted existing industrial installations</w:t>
      </w:r>
      <w:r>
        <w:rPr>
          <w:szCs w:val="22"/>
          <w:lang w:eastAsia="sv-SE"/>
        </w:rPr>
        <w:t xml:space="preserve">” under the Focus </w:t>
      </w:r>
      <w:r>
        <w:rPr>
          <w:szCs w:val="22"/>
          <w:lang w:eastAsia="sv-SE"/>
        </w:rPr>
        <w:t>Area “Building a low-carbon, climate resilient future (LC)”.  The specific Topic Identifier is: LC-SC3-RES-22-2018. Further information can be found at:</w:t>
      </w:r>
    </w:p>
    <w:p w:rsidR="006E1BDE" w:rsidRDefault="00244DD3">
      <w:pPr>
        <w:rPr>
          <w:szCs w:val="22"/>
          <w:lang w:eastAsia="sv-SE"/>
        </w:rPr>
      </w:pPr>
      <w:hyperlink r:id="rId16" w:history="1">
        <w:r>
          <w:rPr>
            <w:rStyle w:val="Hyperlink"/>
            <w:szCs w:val="22"/>
            <w:lang w:eastAsia="sv-SE"/>
          </w:rPr>
          <w:t>http://ec.europa.eu/research/participants/portal/desktop/en/opportunities/h2020/topics/lc-sc3-res-22-2018.html</w:t>
        </w:r>
      </w:hyperlink>
      <w:r>
        <w:rPr>
          <w:szCs w:val="22"/>
          <w:lang w:eastAsia="sv-SE"/>
        </w:rPr>
        <w:t>.</w:t>
      </w:r>
    </w:p>
    <w:p w:rsidR="006E1BDE" w:rsidRDefault="00244DD3">
      <w:pPr>
        <w:pStyle w:val="EXboldtitles"/>
        <w:rPr>
          <w:szCs w:val="22"/>
          <w:u w:val="single"/>
          <w:lang w:eastAsia="sv-SE"/>
        </w:rPr>
      </w:pPr>
      <w:r>
        <w:rPr>
          <w:szCs w:val="22"/>
          <w:u w:val="single"/>
          <w:lang w:eastAsia="sv-SE"/>
        </w:rPr>
        <w:t>Deadline for submission of proposals is: 05 April 2018 17:00:00, Brussels time.</w:t>
      </w:r>
    </w:p>
    <w:p w:rsidR="006E1BDE" w:rsidRDefault="00244DD3">
      <w:pPr>
        <w:rPr>
          <w:szCs w:val="22"/>
          <w:lang w:eastAsia="sv-SE"/>
        </w:rPr>
      </w:pPr>
      <w:r>
        <w:rPr>
          <w:szCs w:val="22"/>
          <w:lang w:eastAsia="sv-SE"/>
        </w:rPr>
        <w:t>A dedicated guide for Indian users</w:t>
      </w:r>
      <w:r>
        <w:rPr>
          <w:rStyle w:val="FootnoteReference"/>
          <w:szCs w:val="22"/>
          <w:lang w:eastAsia="sv-SE"/>
        </w:rPr>
        <w:footnoteReference w:id="103"/>
      </w:r>
      <w:r>
        <w:rPr>
          <w:szCs w:val="22"/>
          <w:lang w:eastAsia="sv-SE"/>
        </w:rPr>
        <w:t xml:space="preserve"> has </w:t>
      </w:r>
      <w:r>
        <w:rPr>
          <w:szCs w:val="22"/>
          <w:lang w:eastAsia="sv-SE"/>
        </w:rPr>
        <w:t>been developed and interested organisations are advised to read it carefully.</w:t>
      </w:r>
    </w:p>
    <w:p w:rsidR="006E1BDE" w:rsidRDefault="00244DD3">
      <w:pPr>
        <w:rPr>
          <w:szCs w:val="22"/>
          <w:lang w:eastAsia="sv-SE"/>
        </w:rPr>
      </w:pPr>
      <w:r>
        <w:rPr>
          <w:szCs w:val="22"/>
          <w:lang w:eastAsia="sv-SE"/>
        </w:rPr>
        <w:t>Figure 43 shows the participation of Indian organisations in Horizon 2020 up to 17/10/2017.</w:t>
      </w:r>
    </w:p>
    <w:p w:rsidR="006E1BDE" w:rsidRDefault="00244DD3">
      <w:pPr>
        <w:pStyle w:val="Caption"/>
        <w:rPr>
          <w:szCs w:val="22"/>
        </w:rPr>
      </w:pPr>
      <w:r>
        <w:rPr>
          <w:szCs w:val="22"/>
        </w:rPr>
        <w:t>Figure 43: Participation of Indian organisations in H2020 up to 17/10/2017</w:t>
      </w:r>
    </w:p>
    <w:p w:rsidR="006E1BDE" w:rsidRDefault="00244DD3">
      <w:pPr>
        <w:jc w:val="center"/>
        <w:rPr>
          <w:szCs w:val="22"/>
          <w:lang w:eastAsia="sv-SE"/>
        </w:rPr>
      </w:pPr>
      <w:r>
        <w:rPr>
          <w:noProof/>
          <w:szCs w:val="22"/>
          <w:lang w:eastAsia="en-GB"/>
        </w:rPr>
        <w:drawing>
          <wp:inline distT="0" distB="0" distL="0" distR="0">
            <wp:extent cx="6631225" cy="36671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35897" cy="3669709"/>
                    </a:xfrm>
                    <a:prstGeom prst="rect">
                      <a:avLst/>
                    </a:prstGeom>
                    <a:noFill/>
                    <a:ln>
                      <a:noFill/>
                    </a:ln>
                  </pic:spPr>
                </pic:pic>
              </a:graphicData>
            </a:graphic>
          </wp:inline>
        </w:drawing>
      </w:r>
    </w:p>
    <w:p w:rsidR="006E1BDE" w:rsidRDefault="00244DD3">
      <w:pPr>
        <w:pStyle w:val="Heading3"/>
        <w:rPr>
          <w:szCs w:val="22"/>
          <w:lang w:eastAsia="sv-SE"/>
        </w:rPr>
      </w:pPr>
      <w:bookmarkStart w:id="55" w:name="_Toc516598372"/>
      <w:r>
        <w:rPr>
          <w:szCs w:val="22"/>
          <w:lang w:eastAsia="sv-SE"/>
        </w:rPr>
        <w:t>NER 300</w:t>
      </w:r>
      <w:r>
        <w:rPr>
          <w:rStyle w:val="FootnoteReference"/>
          <w:szCs w:val="22"/>
          <w:lang w:eastAsia="sv-SE"/>
        </w:rPr>
        <w:footnoteReference w:id="104"/>
      </w:r>
      <w:bookmarkEnd w:id="55"/>
    </w:p>
    <w:p w:rsidR="006E1BDE" w:rsidRDefault="00244DD3">
      <w:pPr>
        <w:rPr>
          <w:szCs w:val="22"/>
          <w:lang w:eastAsia="sv-SE"/>
        </w:rPr>
      </w:pPr>
      <w:r>
        <w:rPr>
          <w:szCs w:val="22"/>
          <w:lang w:eastAsia="sv-SE"/>
        </w:rPr>
        <w:t>The funds for the NER300 grants were obtained by selling up to 300 million carbon allowances (rights to emit 1 ton of CO2) from the set-aside for the New Entrants’ Reserve (NER i.e. new industries established after the ETS system was implemented). The sale</w:t>
      </w:r>
      <w:r>
        <w:rPr>
          <w:szCs w:val="22"/>
          <w:lang w:eastAsia="sv-SE"/>
        </w:rPr>
        <w:t>s of the EUAs was EUR 1.65 billion from the first tranche sales (200 million EUAs) in 2011-2012 and EUR 0.55 billion from the sales of the remaining 100 million EUAs in the second tranche in 2013-2014.The funding from the NER300 program can be obtained for</w:t>
      </w:r>
      <w:r>
        <w:rPr>
          <w:szCs w:val="22"/>
          <w:lang w:eastAsia="sv-SE"/>
        </w:rPr>
        <w:t xml:space="preserve"> installations of different innovative energy projects including renewable energy, smart grids and CCS.</w:t>
      </w:r>
    </w:p>
    <w:p w:rsidR="006E1BDE" w:rsidRDefault="00244DD3">
      <w:pPr>
        <w:rPr>
          <w:szCs w:val="22"/>
          <w:lang w:eastAsia="sv-SE"/>
        </w:rPr>
      </w:pPr>
      <w:r>
        <w:rPr>
          <w:szCs w:val="22"/>
          <w:lang w:eastAsia="sv-SE"/>
        </w:rPr>
        <w:t xml:space="preserve">The selection of projects was based on call for proposals. Each of the EU Member States could be granted at least one project and no Member State would </w:t>
      </w:r>
      <w:r>
        <w:rPr>
          <w:szCs w:val="22"/>
          <w:lang w:eastAsia="sv-SE"/>
        </w:rPr>
        <w:t>be granted more than three projects in total.</w:t>
      </w:r>
    </w:p>
    <w:p w:rsidR="006E1BDE" w:rsidRDefault="00244DD3">
      <w:pPr>
        <w:rPr>
          <w:szCs w:val="22"/>
          <w:lang w:eastAsia="sv-SE"/>
        </w:rPr>
      </w:pPr>
      <w:r>
        <w:rPr>
          <w:szCs w:val="22"/>
          <w:lang w:eastAsia="sv-SE"/>
        </w:rPr>
        <w:t>However, the grant is not received directly in the beginning of a project or in proportion to the project spending (unless a MS provides a corresponding capital guarantee). Instead, the grant funding to a proje</w:t>
      </w:r>
      <w:r>
        <w:rPr>
          <w:szCs w:val="22"/>
          <w:lang w:eastAsia="sv-SE"/>
        </w:rPr>
        <w:t>ct is only receivable once the plant has been constructed and has come into operation. The grant will then be paid during the initial five years of operation based on a pro rata basis of the actual production achieved relative to the nameplate production c</w:t>
      </w:r>
      <w:r>
        <w:rPr>
          <w:szCs w:val="22"/>
          <w:lang w:eastAsia="sv-SE"/>
        </w:rPr>
        <w:t>apacity, but with a margin for reduced capacity factor for the use of new technologies. This margin required that in order to obtain 100% of the grant funding allocated to a project, the actual capacity over the first five years of operation must reach 75%</w:t>
      </w:r>
      <w:r>
        <w:rPr>
          <w:szCs w:val="22"/>
          <w:lang w:eastAsia="sv-SE"/>
        </w:rPr>
        <w:t xml:space="preserve"> of the nominal output.</w:t>
      </w:r>
    </w:p>
    <w:p w:rsidR="006E1BDE" w:rsidRDefault="00244DD3">
      <w:pPr>
        <w:rPr>
          <w:szCs w:val="22"/>
          <w:lang w:eastAsia="sv-SE"/>
        </w:rPr>
      </w:pPr>
      <w:r>
        <w:rPr>
          <w:szCs w:val="22"/>
          <w:lang w:eastAsia="sv-SE"/>
        </w:rPr>
        <w:t>In the calls of NER 300 several advanced biofuel projects were proposed and approved among of which were 3 commercial scale projects to produce Fischer-Tropsch biofuels from biomass. However all three were cancelled I the end when i</w:t>
      </w:r>
      <w:r>
        <w:rPr>
          <w:szCs w:val="22"/>
          <w:lang w:eastAsia="sv-SE"/>
        </w:rPr>
        <w:t>t became apparent that all the technical risks had to be undertaken by the technology developers and investors.</w:t>
      </w:r>
    </w:p>
    <w:p w:rsidR="006E1BDE" w:rsidRDefault="00244DD3">
      <w:pPr>
        <w:rPr>
          <w:szCs w:val="22"/>
          <w:lang w:eastAsia="sv-SE"/>
        </w:rPr>
      </w:pPr>
      <w:r>
        <w:rPr>
          <w:szCs w:val="22"/>
          <w:lang w:eastAsia="sv-SE"/>
        </w:rPr>
        <w:t>In conclusion the NER 300 was ill conceived for FOAK plants and projects on advanced biofuels.</w:t>
      </w:r>
    </w:p>
    <w:p w:rsidR="006E1BDE" w:rsidRDefault="00244DD3">
      <w:pPr>
        <w:rPr>
          <w:szCs w:val="22"/>
          <w:lang w:eastAsia="sv-SE"/>
        </w:rPr>
      </w:pPr>
      <w:r>
        <w:rPr>
          <w:szCs w:val="22"/>
          <w:lang w:eastAsia="sv-SE"/>
        </w:rPr>
        <w:t>Only the VERBIO biomethane plant was supported by</w:t>
      </w:r>
      <w:r>
        <w:rPr>
          <w:szCs w:val="22"/>
          <w:lang w:eastAsia="sv-SE"/>
        </w:rPr>
        <w:t xml:space="preserve"> the NER 300 as well as a relative small section of the Cresentino cellulosic ethanol plant of Biochemtex. However, the VERBIO biomethane plat it is not an actual FOAK since the basic technology had already been developed while the Cresentino plant had alr</w:t>
      </w:r>
      <w:r>
        <w:rPr>
          <w:szCs w:val="22"/>
          <w:lang w:eastAsia="sv-SE"/>
        </w:rPr>
        <w:t>eady been supported by FP7.</w:t>
      </w:r>
    </w:p>
    <w:p w:rsidR="006E1BDE" w:rsidRDefault="00244DD3">
      <w:pPr>
        <w:pStyle w:val="Heading3"/>
        <w:rPr>
          <w:szCs w:val="22"/>
        </w:rPr>
      </w:pPr>
      <w:bookmarkStart w:id="56" w:name="_Toc516598373"/>
      <w:r>
        <w:rPr>
          <w:szCs w:val="22"/>
        </w:rPr>
        <w:t>INNOFIN EU Finance for Innovators</w:t>
      </w:r>
      <w:bookmarkEnd w:id="56"/>
    </w:p>
    <w:p w:rsidR="006E1BDE" w:rsidRDefault="00244DD3">
      <w:pPr>
        <w:rPr>
          <w:szCs w:val="22"/>
          <w:lang w:eastAsia="sv-SE"/>
        </w:rPr>
      </w:pPr>
      <w:r>
        <w:rPr>
          <w:szCs w:val="22"/>
          <w:lang w:eastAsia="sv-SE"/>
        </w:rPr>
        <w:t>Under the Horizon 2020 programme the European Commission is developing the New Financial Instrument</w:t>
      </w:r>
      <w:r>
        <w:rPr>
          <w:rStyle w:val="FootnoteReference"/>
          <w:szCs w:val="22"/>
          <w:lang w:eastAsia="sv-SE"/>
        </w:rPr>
        <w:footnoteReference w:id="105"/>
      </w:r>
      <w:r>
        <w:rPr>
          <w:szCs w:val="22"/>
          <w:lang w:eastAsia="sv-SE"/>
        </w:rPr>
        <w:t xml:space="preserve"> to provide easier access, via financial instruments, to loans, guarantees, counter-guarantees</w:t>
      </w:r>
      <w:r>
        <w:rPr>
          <w:szCs w:val="22"/>
          <w:lang w:eastAsia="sv-SE"/>
        </w:rPr>
        <w:t xml:space="preserve"> and hybrid, mezzanine and equity finance for innovative projects.</w:t>
      </w:r>
    </w:p>
    <w:p w:rsidR="006E1BDE" w:rsidRDefault="00244DD3">
      <w:pPr>
        <w:rPr>
          <w:szCs w:val="22"/>
          <w:lang w:eastAsia="sv-SE"/>
        </w:rPr>
      </w:pPr>
      <w:r>
        <w:rPr>
          <w:szCs w:val="22"/>
          <w:lang w:eastAsia="sv-SE"/>
        </w:rPr>
        <w:t>InnovFin – EU Finance for Innovators is the financial instrument under which the EU promotes a range of debt and equity products and advisory services in order to effectively give a boost t</w:t>
      </w:r>
      <w:r>
        <w:rPr>
          <w:szCs w:val="22"/>
          <w:lang w:eastAsia="sv-SE"/>
        </w:rPr>
        <w:t>o the availability of finance for research and innovation activities in Europe. It is basically a range of tailored products – from guarantees for intermediaries that lend to SMEs to direct loans to enterprises - helping support the smallest to the largest</w:t>
      </w:r>
      <w:r>
        <w:rPr>
          <w:szCs w:val="22"/>
          <w:lang w:eastAsia="sv-SE"/>
        </w:rPr>
        <w:t xml:space="preserve"> R&amp;I projects in the EU and countries associated to Horizon 2020.</w:t>
      </w:r>
    </w:p>
    <w:p w:rsidR="006E1BDE" w:rsidRDefault="00244DD3">
      <w:pPr>
        <w:rPr>
          <w:szCs w:val="22"/>
          <w:lang w:eastAsia="sv-SE"/>
        </w:rPr>
      </w:pPr>
      <w:r>
        <w:rPr>
          <w:szCs w:val="22"/>
          <w:lang w:eastAsia="sv-SE"/>
        </w:rPr>
        <w:t>The European Investment Bank (EIB)</w:t>
      </w:r>
      <w:r>
        <w:rPr>
          <w:rStyle w:val="FootnoteReference"/>
          <w:szCs w:val="22"/>
          <w:lang w:eastAsia="sv-SE"/>
        </w:rPr>
        <w:footnoteReference w:id="106"/>
      </w:r>
      <w:r>
        <w:rPr>
          <w:szCs w:val="22"/>
          <w:lang w:eastAsia="sv-SE"/>
        </w:rPr>
        <w:t xml:space="preserve"> and the European Investment Fund (EIF)</w:t>
      </w:r>
      <w:r>
        <w:rPr>
          <w:rStyle w:val="FootnoteReference"/>
          <w:szCs w:val="22"/>
          <w:lang w:eastAsia="sv-SE"/>
        </w:rPr>
        <w:footnoteReference w:id="107"/>
      </w:r>
      <w:r>
        <w:rPr>
          <w:szCs w:val="22"/>
          <w:lang w:eastAsia="sv-SE"/>
        </w:rPr>
        <w:t xml:space="preserve"> are the two main financial institutions assisting in implementing each financial instrument facility on behalf of </w:t>
      </w:r>
      <w:r>
        <w:rPr>
          <w:szCs w:val="22"/>
          <w:lang w:eastAsia="sv-SE"/>
        </w:rPr>
        <w:t>and in partnership with the European Commission. The European Investment Bank provides loans to medium to larger companies, or guarantees to banks lending to them. It also provides a range of technical assistance and advisory services, in order to help pro</w:t>
      </w:r>
      <w:r>
        <w:rPr>
          <w:szCs w:val="22"/>
          <w:lang w:eastAsia="sv-SE"/>
        </w:rPr>
        <w:t>ject promoters to make research, development and innovation bankable.</w:t>
      </w:r>
    </w:p>
    <w:p w:rsidR="006E1BDE" w:rsidRDefault="00244DD3">
      <w:pPr>
        <w:rPr>
          <w:szCs w:val="22"/>
          <w:lang w:eastAsia="sv-SE"/>
        </w:rPr>
      </w:pPr>
      <w:r>
        <w:rPr>
          <w:szCs w:val="22"/>
          <w:lang w:eastAsia="sv-SE"/>
        </w:rPr>
        <w:t>The European Commission launched a Public Consultation for an Innovation Fund on 15/01/2018 with deadline of comments on 10/04/2018</w:t>
      </w:r>
      <w:r>
        <w:rPr>
          <w:rStyle w:val="FootnoteReference"/>
          <w:szCs w:val="22"/>
          <w:lang w:eastAsia="sv-SE"/>
        </w:rPr>
        <w:footnoteReference w:id="108"/>
      </w:r>
      <w:r>
        <w:rPr>
          <w:szCs w:val="22"/>
          <w:lang w:eastAsia="sv-SE"/>
        </w:rPr>
        <w:t>. The EU plans to invest a part of the revenues from t</w:t>
      </w:r>
      <w:r>
        <w:rPr>
          <w:szCs w:val="22"/>
          <w:lang w:eastAsia="sv-SE"/>
        </w:rPr>
        <w:t>he EU Emissions Trading System (EU ETS) into low-carbon technology demonstration projects, through a new Innovation Fund. This will follow the same approach as with the NER300. The European Commission is welcoming contributions from:</w:t>
      </w:r>
    </w:p>
    <w:p w:rsidR="006E1BDE" w:rsidRDefault="00244DD3">
      <w:pPr>
        <w:pStyle w:val="ListParagraph"/>
        <w:ind w:left="572" w:hanging="215"/>
        <w:rPr>
          <w:szCs w:val="22"/>
          <w:lang w:eastAsia="sv-SE"/>
        </w:rPr>
      </w:pPr>
      <w:r>
        <w:rPr>
          <w:szCs w:val="22"/>
          <w:lang w:eastAsia="sv-SE"/>
        </w:rPr>
        <w:t xml:space="preserve">Stakeholders directly </w:t>
      </w:r>
      <w:r>
        <w:rPr>
          <w:szCs w:val="22"/>
          <w:lang w:eastAsia="sv-SE"/>
        </w:rPr>
        <w:t>affected by Commission Regulation and highly interested (most likely to benefit from the funding): industries, in particular steel, iron, aluminium, copper, oil refining, chemicals &amp; bio-based industries and pulp &amp; paper, cement, lime, glass &amp; ceramics, re</w:t>
      </w:r>
      <w:r>
        <w:rPr>
          <w:szCs w:val="22"/>
          <w:lang w:eastAsia="sv-SE"/>
        </w:rPr>
        <w:t>newable energy generation and storage, and industries/power plants utilising CCS/CCU.</w:t>
      </w:r>
    </w:p>
    <w:p w:rsidR="006E1BDE" w:rsidRDefault="00244DD3">
      <w:pPr>
        <w:pStyle w:val="ListParagraph"/>
        <w:ind w:left="572" w:hanging="215"/>
        <w:rPr>
          <w:szCs w:val="22"/>
          <w:lang w:eastAsia="sv-SE"/>
        </w:rPr>
      </w:pPr>
      <w:r>
        <w:rPr>
          <w:szCs w:val="22"/>
          <w:lang w:eastAsia="sv-SE"/>
        </w:rPr>
        <w:t>Stakeholders indirectly affected by Commission Regulation and highly interested (are not likely to benefit from the funding, but have stated an interest in the initiative</w:t>
      </w:r>
      <w:r>
        <w:rPr>
          <w:szCs w:val="22"/>
          <w:lang w:eastAsia="sv-SE"/>
        </w:rPr>
        <w:t>): EU/National Industry associations, Environmental NGOs, National/Regional authorities and EU institutions; European Investment Bank/ EU/national financial institutions; Member States.</w:t>
      </w:r>
    </w:p>
    <w:p w:rsidR="006E1BDE" w:rsidRDefault="00244DD3">
      <w:pPr>
        <w:pStyle w:val="ListParagraph"/>
        <w:ind w:left="572" w:hanging="215"/>
        <w:rPr>
          <w:szCs w:val="22"/>
          <w:lang w:eastAsia="sv-SE"/>
        </w:rPr>
      </w:pPr>
      <w:r>
        <w:rPr>
          <w:szCs w:val="22"/>
          <w:lang w:eastAsia="sv-SE"/>
        </w:rPr>
        <w:t>General Public.</w:t>
      </w:r>
    </w:p>
    <w:p w:rsidR="006E1BDE" w:rsidRDefault="00244DD3">
      <w:pPr>
        <w:rPr>
          <w:szCs w:val="22"/>
          <w:lang w:eastAsia="sv-SE"/>
        </w:rPr>
      </w:pPr>
      <w:r>
        <w:rPr>
          <w:szCs w:val="22"/>
          <w:lang w:eastAsia="sv-SE"/>
        </w:rPr>
        <w:t xml:space="preserve">The results of the Consultation are expected within 2 </w:t>
      </w:r>
      <w:r>
        <w:rPr>
          <w:szCs w:val="22"/>
          <w:lang w:eastAsia="sv-SE"/>
        </w:rPr>
        <w:t>months after the deadline. After the Consultation the European Commission will set up the final details of this new instrument by the end of 2018. The EU biofuels industry has been recommended to contribute to this Public Consultation to ensure that the sh</w:t>
      </w:r>
      <w:r>
        <w:rPr>
          <w:szCs w:val="22"/>
          <w:lang w:eastAsia="sv-SE"/>
        </w:rPr>
        <w:t>ortcomings of the NER300 will be avoided.</w:t>
      </w:r>
    </w:p>
    <w:p w:rsidR="006E1BDE" w:rsidRDefault="00244DD3">
      <w:pPr>
        <w:pStyle w:val="Heading2"/>
      </w:pPr>
      <w:bookmarkStart w:id="57" w:name="_Toc516598374"/>
      <w:r>
        <w:t>Financing mechanisms in India</w:t>
      </w:r>
      <w:bookmarkEnd w:id="57"/>
    </w:p>
    <w:p w:rsidR="006E1BDE" w:rsidRDefault="00244DD3">
      <w:pPr>
        <w:rPr>
          <w:szCs w:val="22"/>
          <w:lang w:eastAsia="sv-SE"/>
        </w:rPr>
      </w:pPr>
      <w:r>
        <w:rPr>
          <w:szCs w:val="22"/>
          <w:lang w:eastAsia="sv-SE"/>
        </w:rPr>
        <w:t>Funding and Financial Support Options in India for Advance Biofuels: Funding and financial support by Government is essential for setting up of capital intensive advanced biofuel proje</w:t>
      </w:r>
      <w:r>
        <w:rPr>
          <w:szCs w:val="22"/>
          <w:lang w:eastAsia="sv-SE"/>
        </w:rPr>
        <w:t>cts. In 2009 GoI formulated a policy on biofuels which proposed an indicative target of 20% blending of bio-fuels in petrol and diesel by 2017. However, this target was not realized.  It also proposed to give a major thrust to research, development and dem</w:t>
      </w:r>
      <w:r>
        <w:rPr>
          <w:szCs w:val="22"/>
          <w:lang w:eastAsia="sv-SE"/>
        </w:rPr>
        <w:t>onstration with focus on second generation biofuels and sought International cooperation in this sector. GoI has announced a new biofuel policy which includes funding of advanced biofuels. It is understood that the draft policy has proposed an indicative t</w:t>
      </w:r>
      <w:r>
        <w:rPr>
          <w:szCs w:val="22"/>
          <w:lang w:eastAsia="sv-SE"/>
        </w:rPr>
        <w:t>arget of 20% blending of ethanol in petrol and 5% of biodiesel in diesel by 2030. The policy may give permission to use sugarcane juice or ‘B heavy’ molasses, whenever sugar production is likely to be surplus, and also damaged grain for ethanol production.</w:t>
      </w:r>
      <w:r>
        <w:rPr>
          <w:szCs w:val="22"/>
          <w:lang w:eastAsia="sv-SE"/>
        </w:rPr>
        <w:t xml:space="preserve"> It is likely to propose that 1-G and 2-G Ethanol, Biodiesel, MSW to Fuel and Bio-CNG together with Methanol (DME) be promoted, which will contribute to the advancement of rural economy. It plans a minimum of production capacity of 1 billion litres per yea</w:t>
      </w:r>
      <w:r>
        <w:rPr>
          <w:szCs w:val="22"/>
          <w:lang w:eastAsia="sv-SE"/>
        </w:rPr>
        <w:t>r of advanced biofuels with an investment of Rs 50 billion. The GoI has already asked state owned oil companies to set up 12 ethanol plants at various locations. Financial support is envisaged for integrated bioethanol projects using lignocellulosic biomas</w:t>
      </w:r>
      <w:r>
        <w:rPr>
          <w:szCs w:val="22"/>
          <w:lang w:eastAsia="sv-SE"/>
        </w:rPr>
        <w:t>s and other renewable feedstocks. In addition, to support new project, the OMCs are likely to show willingness to a 15 year purchase agreements with 2G ethanol producers. The scheme also is likely to propose for financial support to promote investment in t</w:t>
      </w:r>
      <w:r>
        <w:rPr>
          <w:szCs w:val="22"/>
          <w:lang w:eastAsia="sv-SE"/>
        </w:rPr>
        <w:t>he initial few commercial scale 2G ethanol bio-refineries by means of Viability Gap Funding (VGF) of 20 per cent of the project cost with a maximum of Rs. 1500 million. Furthermore, the policy also proposes that 2G Bio-ethanol project developers can also o</w:t>
      </w:r>
      <w:r>
        <w:rPr>
          <w:szCs w:val="22"/>
          <w:lang w:eastAsia="sv-SE"/>
        </w:rPr>
        <w:t>btain grant from state government or PSEs or other agencies up to 20 per cent of the total project cost. For the proposed funding scheme, the government plans to allocate Rs. 49.5 billion for commercial and demonstration projects and Rs. 500 million as adm</w:t>
      </w:r>
      <w:r>
        <w:rPr>
          <w:szCs w:val="22"/>
          <w:lang w:eastAsia="sv-SE"/>
        </w:rPr>
        <w:t>inistrative charges to Centre for High Technology for coordinating the scheme.</w:t>
      </w:r>
    </w:p>
    <w:p w:rsidR="006E1BDE" w:rsidRDefault="00244DD3">
      <w:pPr>
        <w:rPr>
          <w:szCs w:val="22"/>
          <w:lang w:eastAsia="sv-SE"/>
        </w:rPr>
      </w:pPr>
      <w:r>
        <w:rPr>
          <w:szCs w:val="22"/>
          <w:lang w:eastAsia="sv-SE"/>
        </w:rPr>
        <w:t>It is understood from discussions held during the EU-India Conference on Advance Biofuels, 6-8 March, 2018, New Delhi, that five of the 12 biorefineries are in advanced state of</w:t>
      </w:r>
      <w:r>
        <w:rPr>
          <w:szCs w:val="22"/>
          <w:lang w:eastAsia="sv-SE"/>
        </w:rPr>
        <w:t xml:space="preserve"> negotiations between the oil companies, the technology developers and the Ministry of Petroleum and Natural Gas.</w:t>
      </w:r>
    </w:p>
    <w:p w:rsidR="006E1BDE" w:rsidRDefault="006E1BDE">
      <w:pPr>
        <w:pStyle w:val="EXNumberedlist"/>
        <w:numPr>
          <w:ilvl w:val="0"/>
          <w:numId w:val="0"/>
        </w:numPr>
        <w:ind w:left="648" w:hanging="288"/>
        <w:rPr>
          <w:lang w:eastAsia="sv-SE"/>
        </w:rPr>
      </w:pPr>
    </w:p>
    <w:p w:rsidR="006E1BDE" w:rsidRDefault="006E1BDE">
      <w:pPr>
        <w:numPr>
          <w:ilvl w:val="0"/>
          <w:numId w:val="0"/>
        </w:numPr>
        <w:rPr>
          <w:szCs w:val="22"/>
          <w:lang w:eastAsia="sv-SE"/>
        </w:rPr>
      </w:pPr>
    </w:p>
    <w:p w:rsidR="006E1BDE" w:rsidRDefault="00244DD3">
      <w:pPr>
        <w:pStyle w:val="Heading1"/>
        <w:rPr>
          <w:sz w:val="22"/>
          <w:szCs w:val="22"/>
        </w:rPr>
      </w:pPr>
      <w:bookmarkStart w:id="58" w:name="_Toc516598375"/>
      <w:r>
        <w:rPr>
          <w:sz w:val="22"/>
          <w:szCs w:val="22"/>
        </w:rPr>
        <w:t>Conclusions</w:t>
      </w:r>
      <w:bookmarkEnd w:id="58"/>
    </w:p>
    <w:p w:rsidR="006E1BDE" w:rsidRDefault="00244DD3">
      <w:pPr>
        <w:rPr>
          <w:szCs w:val="22"/>
          <w:lang w:eastAsia="sv-SE"/>
        </w:rPr>
      </w:pPr>
      <w:r>
        <w:rPr>
          <w:szCs w:val="22"/>
          <w:lang w:eastAsia="sv-SE"/>
        </w:rPr>
        <w:t xml:space="preserve">The analysis on the overview and comparison of the existing legislation and policies in the EU and India revealed the following </w:t>
      </w:r>
      <w:r>
        <w:rPr>
          <w:szCs w:val="22"/>
          <w:lang w:eastAsia="sv-SE"/>
        </w:rPr>
        <w:t>elements:</w:t>
      </w:r>
    </w:p>
    <w:p w:rsidR="006E1BDE" w:rsidRDefault="00244DD3">
      <w:pPr>
        <w:pStyle w:val="ListParagraph"/>
        <w:ind w:left="572" w:hanging="215"/>
        <w:rPr>
          <w:szCs w:val="22"/>
          <w:lang w:eastAsia="sv-SE"/>
        </w:rPr>
      </w:pPr>
      <w:r>
        <w:rPr>
          <w:szCs w:val="22"/>
          <w:lang w:eastAsia="sv-SE"/>
        </w:rPr>
        <w:t>In both the EU and India the current instruments are undergoing a review. In India the New National Biofuel Policy was adopted in May 2018, and awaits notification. In the EU, the RED-II is in the process of adoption. These developments are likel</w:t>
      </w:r>
      <w:r>
        <w:rPr>
          <w:szCs w:val="22"/>
          <w:lang w:eastAsia="sv-SE"/>
        </w:rPr>
        <w:t>y to bring the two systems closer in their approach, in particular increasing the focus on advanced biofuels.</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Whereas biofuels have had a relatively long history in both jurisdictions, there has been a more established framework for biofuels in the EU tha</w:t>
      </w:r>
      <w:r>
        <w:rPr>
          <w:szCs w:val="22"/>
          <w:lang w:eastAsia="sv-SE"/>
        </w:rPr>
        <w:t xml:space="preserve">n in India, even though India is starting to catch up.  </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 xml:space="preserve">The key difference is that the EU has a legislative framework for the promotion of biofuels, whereas India merely has a policy. While there are other differences in approach, the analysis has shown </w:t>
      </w:r>
      <w:r>
        <w:rPr>
          <w:szCs w:val="22"/>
          <w:lang w:eastAsia="sv-SE"/>
        </w:rPr>
        <w:t>that there are several similarities and that there appears to be an increasing convergence between the two systems.</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t>Both the instruments recognise the role of biofuels in achieving similar goals of climate change mitigation, energy security as well as cre</w:t>
      </w:r>
      <w:r>
        <w:t xml:space="preserve">ating employment </w:t>
      </w:r>
      <w:r>
        <w:rPr>
          <w:szCs w:val="22"/>
          <w:lang w:eastAsia="sv-SE"/>
        </w:rPr>
        <w:t>opportunities</w:t>
      </w:r>
      <w:r>
        <w:t xml:space="preserve">. However, the REDs key goal is climate change mitigation, while the NBP focuses on energy security. </w:t>
      </w:r>
    </w:p>
    <w:p w:rsidR="006E1BDE" w:rsidRDefault="006E1BDE">
      <w:pPr>
        <w:pStyle w:val="ListParagraph"/>
        <w:numPr>
          <w:ilvl w:val="0"/>
          <w:numId w:val="0"/>
        </w:numPr>
        <w:tabs>
          <w:tab w:val="clear" w:pos="567"/>
        </w:tabs>
        <w:ind w:left="720"/>
      </w:pPr>
    </w:p>
    <w:p w:rsidR="006E1BDE" w:rsidRDefault="00244DD3">
      <w:pPr>
        <w:pStyle w:val="ListParagraph"/>
        <w:ind w:left="572" w:hanging="215"/>
        <w:rPr>
          <w:szCs w:val="22"/>
          <w:lang w:eastAsia="sv-SE"/>
        </w:rPr>
      </w:pPr>
      <w:r>
        <w:t>The NBP recognises biofuels as environmentally friendly fuels and thereby, their use in themselves would address the global</w:t>
      </w:r>
      <w:r>
        <w:t xml:space="preserve"> concerns of containing carbon emissions. This significantly differs from the EU approach, which has set sustainability criteria in the RED. Such sustainability criteria are currently missing from the Indian biofuel policy as it stands today.</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t>Overall, bot</w:t>
      </w:r>
      <w:r>
        <w:t>h instruments aim to progress in a similar direction. The key difference is the degree to which this is done. For instance, whereas both instruments encourage the development of advanced or second-generation biofuels, the RED goes further than the NBP. The</w:t>
      </w:r>
      <w:r>
        <w:t xml:space="preserve"> NBP merely places a focus on financial incentives and R&amp;D for advanced biofuels, whereas the RED goes a step further and double counts the use thereof for the purpose of achieving the 10% target. </w:t>
      </w:r>
    </w:p>
    <w:p w:rsidR="006E1BDE" w:rsidRDefault="006E1BDE">
      <w:pPr>
        <w:pStyle w:val="ListParagraph"/>
        <w:numPr>
          <w:ilvl w:val="0"/>
          <w:numId w:val="0"/>
        </w:numPr>
        <w:tabs>
          <w:tab w:val="clear" w:pos="567"/>
        </w:tabs>
        <w:ind w:left="720"/>
      </w:pPr>
    </w:p>
    <w:p w:rsidR="006E1BDE" w:rsidRDefault="00244DD3">
      <w:pPr>
        <w:pStyle w:val="ListParagraph"/>
        <w:ind w:left="572" w:hanging="215"/>
        <w:rPr>
          <w:szCs w:val="22"/>
          <w:lang w:eastAsia="sv-SE"/>
        </w:rPr>
      </w:pPr>
      <w:r>
        <w:t>In addition, whereas both instruments provide for a frame</w:t>
      </w:r>
      <w:r>
        <w:t>work, in the case of the EU the Member States must implement this in their national legislation, whereas the Indian states do not have to implement anything in their state legislation.</w:t>
      </w:r>
    </w:p>
    <w:p w:rsidR="006E1BDE" w:rsidRDefault="00244DD3">
      <w:pPr>
        <w:numPr>
          <w:ilvl w:val="0"/>
          <w:numId w:val="0"/>
        </w:numPr>
        <w:rPr>
          <w:szCs w:val="22"/>
          <w:lang w:eastAsia="sv-SE"/>
        </w:rPr>
      </w:pPr>
      <w:r>
        <w:rPr>
          <w:szCs w:val="22"/>
          <w:lang w:eastAsia="sv-SE"/>
        </w:rPr>
        <w:t>Regarding the analysis on the technology status and development of adva</w:t>
      </w:r>
      <w:r>
        <w:rPr>
          <w:szCs w:val="22"/>
          <w:lang w:eastAsia="sv-SE"/>
        </w:rPr>
        <w:t>nced alternative and renewable fuels in India and the EU, the following conclusions can be drawn:</w:t>
      </w:r>
    </w:p>
    <w:p w:rsidR="006E1BDE" w:rsidRDefault="00244DD3">
      <w:pPr>
        <w:pStyle w:val="ListParagraph"/>
        <w:ind w:left="572" w:hanging="215"/>
        <w:rPr>
          <w:szCs w:val="22"/>
          <w:lang w:eastAsia="sv-SE"/>
        </w:rPr>
      </w:pPr>
      <w:r>
        <w:rPr>
          <w:szCs w:val="22"/>
          <w:lang w:eastAsia="sv-SE"/>
        </w:rPr>
        <w:t xml:space="preserve">From all advanced biofuels biomethane (upgraded from biogas) and Hydrotreated Vegetable Oils (HVO) are commercial and several technology providers exist. HVO </w:t>
      </w:r>
      <w:r>
        <w:rPr>
          <w:szCs w:val="22"/>
          <w:lang w:eastAsia="sv-SE"/>
        </w:rPr>
        <w:t xml:space="preserve">is </w:t>
      </w:r>
      <w:r>
        <w:t>economically</w:t>
      </w:r>
      <w:r>
        <w:rPr>
          <w:szCs w:val="22"/>
          <w:lang w:eastAsia="sv-SE"/>
        </w:rPr>
        <w:t xml:space="preserve"> interesting in large-scale refinery type facilities; however further extensive market deployment of HVO may face shortages of supply of the raw material (sustainable vegetable oils, used cooking oils, oil industry process waste streams etc.</w:t>
      </w:r>
      <w:r>
        <w:rPr>
          <w:szCs w:val="22"/>
          <w:lang w:eastAsia="sv-SE"/>
        </w:rPr>
        <w:t>). Biomethane can be produced from a variety of biomass residues and waste streams, however it is mostly based on relatively small installations, which may be a barrier for upgrading the biogas to biomethane.</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Cellulosic ethanol has achieved significant pr</w:t>
      </w:r>
      <w:r>
        <w:rPr>
          <w:szCs w:val="22"/>
          <w:lang w:eastAsia="sv-SE"/>
        </w:rPr>
        <w:t>ogress and it can be claimed that the commercialization has started with the first licenses being given. The first plants built in the EU, India and USA still have to undergo optimization and improvements to increase reliability and reduce the costs; howev</w:t>
      </w:r>
      <w:r>
        <w:rPr>
          <w:szCs w:val="22"/>
          <w:lang w:eastAsia="sv-SE"/>
        </w:rPr>
        <w:t>er this is believed to be a matter of time. There have been some closures of plants but it must be noted that this was not due to technical failures but to other external problems.</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From the thermochemical processes pyrolysis has matured but mainly for pro</w:t>
      </w:r>
      <w:r>
        <w:rPr>
          <w:szCs w:val="22"/>
          <w:lang w:eastAsia="sv-SE"/>
        </w:rPr>
        <w:t>ducing bio-oil for power and heat applications. Upgrading the bio-oil to a biofuel is still a long way to go but the industry now looks into co-processing the bio-oil into existing oil refineries thus avoiding the cost of a green field facility. On the oth</w:t>
      </w:r>
      <w:r>
        <w:rPr>
          <w:szCs w:val="22"/>
          <w:lang w:eastAsia="sv-SE"/>
        </w:rPr>
        <w:t xml:space="preserve">er hand gasification followed by synthesis gas still has to be demonstrated at FOAK level with the exception of the GoBiGas plant in Sweden. This is an area that needs more attention by the funding bodies since due to economies of scale it is necessary to </w:t>
      </w:r>
      <w:r>
        <w:rPr>
          <w:szCs w:val="22"/>
          <w:lang w:eastAsia="sv-SE"/>
        </w:rPr>
        <w:t>build relatively large scale FOAKs.</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 xml:space="preserve">Gas fermentation technologies for CCU applications have developed relatively fast and are promising in delivering liquid fuels at large quantities in the short term.  However, a point of discussion is that such fuels </w:t>
      </w:r>
      <w:r>
        <w:rPr>
          <w:szCs w:val="22"/>
          <w:lang w:eastAsia="sv-SE"/>
        </w:rPr>
        <w:t>are not considered either as bio or renewable fuels under EU legislation.</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Algae from waste water treatment plants converted to biomethane also offer some advantages in warm climates since they offer double benefits, purifying the waste waters while produc</w:t>
      </w:r>
      <w:r>
        <w:rPr>
          <w:szCs w:val="22"/>
          <w:lang w:eastAsia="sv-SE"/>
        </w:rPr>
        <w:t>ing an energy vector.</w:t>
      </w:r>
    </w:p>
    <w:p w:rsidR="006E1BDE" w:rsidRDefault="006E1BDE">
      <w:pPr>
        <w:pStyle w:val="ListParagraph"/>
        <w:numPr>
          <w:ilvl w:val="0"/>
          <w:numId w:val="0"/>
        </w:numPr>
        <w:tabs>
          <w:tab w:val="clear" w:pos="567"/>
        </w:tabs>
        <w:ind w:left="720"/>
        <w:rPr>
          <w:szCs w:val="22"/>
          <w:lang w:eastAsia="sv-SE"/>
        </w:rPr>
      </w:pPr>
    </w:p>
    <w:p w:rsidR="006E1BDE" w:rsidRDefault="00244DD3">
      <w:pPr>
        <w:pStyle w:val="ListParagraph"/>
        <w:ind w:left="572" w:hanging="215"/>
        <w:rPr>
          <w:szCs w:val="22"/>
          <w:lang w:eastAsia="sv-SE"/>
        </w:rPr>
      </w:pPr>
      <w:r>
        <w:rPr>
          <w:szCs w:val="22"/>
          <w:lang w:eastAsia="sv-SE"/>
        </w:rPr>
        <w:t>Power to X at present and for the foreseeable future offer little prospects in India.</w:t>
      </w:r>
    </w:p>
    <w:p w:rsidR="006E1BDE" w:rsidRDefault="00244DD3">
      <w:r>
        <w:t>From the Section on EU-India trade and cooperation on energy and science and technology we can observe the following:</w:t>
      </w:r>
    </w:p>
    <w:p w:rsidR="006E1BDE" w:rsidRDefault="00244DD3">
      <w:pPr>
        <w:pStyle w:val="ListParagraph"/>
        <w:ind w:left="572" w:hanging="215"/>
      </w:pPr>
      <w:r>
        <w:t xml:space="preserve">The </w:t>
      </w:r>
      <w:r>
        <w:rPr>
          <w:szCs w:val="22"/>
          <w:lang w:eastAsia="sv-SE"/>
        </w:rPr>
        <w:t>EU</w:t>
      </w:r>
      <w:r>
        <w:t xml:space="preserve"> and the Government of India have signed cooperation agreements in the areas of energy and science and technology, which have set a solid basis for current and future partnerships. </w:t>
      </w:r>
    </w:p>
    <w:p w:rsidR="006E1BDE" w:rsidRDefault="006E1BDE">
      <w:pPr>
        <w:pStyle w:val="ListParagraph"/>
        <w:numPr>
          <w:ilvl w:val="0"/>
          <w:numId w:val="0"/>
        </w:numPr>
        <w:tabs>
          <w:tab w:val="clear" w:pos="567"/>
        </w:tabs>
        <w:ind w:left="720"/>
      </w:pPr>
    </w:p>
    <w:p w:rsidR="006E1BDE" w:rsidRDefault="00244DD3">
      <w:pPr>
        <w:pStyle w:val="ListParagraph"/>
        <w:ind w:left="572" w:hanging="215"/>
      </w:pPr>
      <w:r>
        <w:t xml:space="preserve">The </w:t>
      </w:r>
      <w:r>
        <w:rPr>
          <w:szCs w:val="22"/>
          <w:lang w:eastAsia="sv-SE"/>
        </w:rPr>
        <w:t>cooperation</w:t>
      </w:r>
      <w:r>
        <w:t xml:space="preserve"> on energy has culminated in the EU-India Strategic Partne</w:t>
      </w:r>
      <w:r>
        <w:t>rship, which led to the adoption of the EU-India Joint Action Plan, the 2016 Summit on Indo-European Clean Energy and Climate Partnership, and finally the EU-India Joint Statement on Clean Energy and Climate Change  of 2017, which specifically recognises a</w:t>
      </w:r>
      <w:r>
        <w:t>dvanced biofuels as an area of mutual importance.</w:t>
      </w:r>
    </w:p>
    <w:p w:rsidR="006E1BDE" w:rsidRDefault="006E1BDE">
      <w:pPr>
        <w:pStyle w:val="ListParagraph"/>
        <w:numPr>
          <w:ilvl w:val="0"/>
          <w:numId w:val="0"/>
        </w:numPr>
        <w:tabs>
          <w:tab w:val="clear" w:pos="567"/>
        </w:tabs>
        <w:ind w:left="720"/>
      </w:pPr>
    </w:p>
    <w:p w:rsidR="006E1BDE" w:rsidRDefault="00244DD3">
      <w:pPr>
        <w:pStyle w:val="ListParagraph"/>
        <w:ind w:left="572" w:hanging="215"/>
      </w:pPr>
      <w:r>
        <w:t xml:space="preserve"> In addition, the cooperation on science and technology has culminated in several </w:t>
      </w:r>
      <w:r>
        <w:rPr>
          <w:szCs w:val="22"/>
          <w:lang w:eastAsia="sv-SE"/>
        </w:rPr>
        <w:t>initiatives</w:t>
      </w:r>
      <w:r>
        <w:t xml:space="preserve">, such as the Roadmap for EU-India Scientific and Technological Cooperation, the opening of India’s Science and </w:t>
      </w:r>
      <w:r>
        <w:t>Technology Programme (IMPRINT) to EU researcher participation, and the setting up of the EU-INDIA S&amp;T Window Cooperation.</w:t>
      </w:r>
    </w:p>
    <w:p w:rsidR="006E1BDE" w:rsidRDefault="006E1BDE">
      <w:pPr>
        <w:pStyle w:val="ListParagraph"/>
        <w:numPr>
          <w:ilvl w:val="0"/>
          <w:numId w:val="0"/>
        </w:numPr>
        <w:tabs>
          <w:tab w:val="clear" w:pos="567"/>
        </w:tabs>
        <w:ind w:left="720"/>
      </w:pPr>
    </w:p>
    <w:p w:rsidR="006E1BDE" w:rsidRDefault="00244DD3">
      <w:pPr>
        <w:pStyle w:val="ListParagraph"/>
        <w:ind w:left="572" w:hanging="215"/>
        <w:rPr>
          <w:szCs w:val="22"/>
        </w:rPr>
      </w:pPr>
      <w:r>
        <w:t>These developments have created increasing trade and investments opportunities between the EU and India. Even though there is the pot</w:t>
      </w:r>
      <w:r>
        <w:t>ential for trade barriers as well, at this stage such barriers to EU-India trade appear more significant for first generation biofuels than for advanced biofuels.</w:t>
      </w:r>
    </w:p>
    <w:p w:rsidR="006E1BDE" w:rsidRDefault="00244DD3">
      <w:r>
        <w:t>Regarding the financing mechanisms for demonstration plants in the TRL range of 6-9, the anal</w:t>
      </w:r>
      <w:r>
        <w:t>ysis led to the following conclusions:</w:t>
      </w:r>
    </w:p>
    <w:p w:rsidR="006E1BDE" w:rsidRDefault="00244DD3">
      <w:pPr>
        <w:pStyle w:val="ListParagraph"/>
        <w:ind w:left="572" w:hanging="215"/>
      </w:pPr>
      <w:r>
        <w:t>The European Union has a long history for supporting innovation via the Framework Programmes (FP) for Research and Innovation which provide for continuity to the research community, the academic world and the industry</w:t>
      </w:r>
      <w:r>
        <w:t xml:space="preserve"> in developing new concepts, improve existing ones and bring into the market innovative technologies. At present the 8th FP, called Horizon 2020, is under implementation until 2020 while the preparation of the 9th FP for the period 2021-2027 has already st</w:t>
      </w:r>
      <w:r>
        <w:t>arted. Under FP7 several advanced biofuel value chains were demonstrated at industrial scale and this helped the EU industry to maintain its leading role in this area.</w:t>
      </w:r>
    </w:p>
    <w:p w:rsidR="006E1BDE" w:rsidRDefault="006E1BDE">
      <w:pPr>
        <w:pStyle w:val="ListParagraph"/>
        <w:numPr>
          <w:ilvl w:val="0"/>
          <w:numId w:val="0"/>
        </w:numPr>
        <w:tabs>
          <w:tab w:val="clear" w:pos="567"/>
        </w:tabs>
        <w:ind w:left="720"/>
      </w:pPr>
    </w:p>
    <w:p w:rsidR="006E1BDE" w:rsidRDefault="00244DD3">
      <w:pPr>
        <w:pStyle w:val="ListParagraph"/>
        <w:ind w:left="572" w:hanging="215"/>
      </w:pPr>
      <w:r>
        <w:t>The Bio-based Industries Joint Undertaking has been an interesting initiative in promot</w:t>
      </w:r>
      <w:r>
        <w:t>ing innovation in the area of the bioeconomy in general, which encompasses advanced biofuels. However, other initiatives such as the NER300 were not as successful and contributed very little in further deploying advanced biofuels in the market. The new fin</w:t>
      </w:r>
      <w:r>
        <w:t>ancial instrument under preparation in the EU, INNOFIN, could be instrumental in facilitating investments in first-of-a-kind plants if properly designed and effectively applied.</w:t>
      </w:r>
    </w:p>
    <w:p w:rsidR="006E1BDE" w:rsidRDefault="006E1BDE">
      <w:pPr>
        <w:pStyle w:val="ListParagraph"/>
        <w:numPr>
          <w:ilvl w:val="0"/>
          <w:numId w:val="0"/>
        </w:numPr>
        <w:tabs>
          <w:tab w:val="clear" w:pos="567"/>
        </w:tabs>
        <w:ind w:left="720"/>
      </w:pPr>
    </w:p>
    <w:p w:rsidR="006E1BDE" w:rsidRDefault="00244DD3">
      <w:pPr>
        <w:pStyle w:val="ListParagraph"/>
        <w:ind w:left="572" w:hanging="215"/>
        <w:rPr>
          <w:szCs w:val="22"/>
        </w:rPr>
      </w:pPr>
      <w:r>
        <w:t>India also has a relatively long history in supporting research and innovatio</w:t>
      </w:r>
      <w:r>
        <w:t>n in the area of biofuels and India has developed its own technologies in several value chains of advanced biofuels. In addition the new strategy to be implemented by the Ministry of Petroleum and Natural Gas is considered to be very effective. This is due</w:t>
      </w:r>
      <w:r>
        <w:t xml:space="preserve"> to the fact that the Ministry is in direct dialogue with the Indian oil companies, which will have to implement the strategy, and at the same time it will facilitate the process with financial support and other policy coordination at government level. Bec</w:t>
      </w:r>
      <w:r>
        <w:t>ause of this it is expected that India has the potential to become one of the leading countries in producing advanced biofuels in the future.</w:t>
      </w:r>
    </w:p>
    <w:p w:rsidR="006E1BDE" w:rsidRDefault="00244DD3">
      <w:pPr>
        <w:pStyle w:val="Heading1"/>
        <w:numPr>
          <w:ilvl w:val="0"/>
          <w:numId w:val="38"/>
        </w:numPr>
        <w:rPr>
          <w:sz w:val="22"/>
          <w:szCs w:val="22"/>
        </w:rPr>
      </w:pPr>
      <w:bookmarkStart w:id="59" w:name="_Toc516598376"/>
      <w:r>
        <w:rPr>
          <w:sz w:val="22"/>
          <w:szCs w:val="22"/>
        </w:rPr>
        <w:t>Annex i: Technology status and development of advanced alternative and renewable fuels in India and the EU</w:t>
      </w:r>
      <w:bookmarkEnd w:id="59"/>
    </w:p>
    <w:p w:rsidR="006E1BDE" w:rsidRDefault="00244DD3">
      <w:pPr>
        <w:pStyle w:val="Heading2"/>
      </w:pPr>
      <w:bookmarkStart w:id="60" w:name="_Toc516598377"/>
      <w:r>
        <w:t>Introdu</w:t>
      </w:r>
      <w:r>
        <w:t>ction</w:t>
      </w:r>
      <w:bookmarkEnd w:id="60"/>
    </w:p>
    <w:p w:rsidR="006E1BDE" w:rsidRDefault="00244DD3">
      <w:pPr>
        <w:rPr>
          <w:szCs w:val="22"/>
        </w:rPr>
      </w:pPr>
      <w:r>
        <w:rPr>
          <w:szCs w:val="22"/>
        </w:rPr>
        <w:t>This Annex aims to identify the technologies and value chains of advanced alternative and renewable fuels that have reached the large-scale industrial demonstration phase and are close to market deployment. Recent progress of advanced biofuels that h</w:t>
      </w:r>
      <w:r>
        <w:rPr>
          <w:szCs w:val="22"/>
        </w:rPr>
        <w:t xml:space="preserve">ave already reached the deployment and commercialisation phase are also to be covered. The objective is to discuss the various value chains that are expected to be commercial in the near future or by 2025. Technologies, value chains and processes that are </w:t>
      </w:r>
      <w:r>
        <w:rPr>
          <w:szCs w:val="22"/>
        </w:rPr>
        <w:t xml:space="preserve">still in the early research or pilot phase and are not expected to be in the market by 2025 are excluded.  </w:t>
      </w:r>
    </w:p>
    <w:p w:rsidR="006E1BDE" w:rsidRDefault="00244DD3">
      <w:pPr>
        <w:rPr>
          <w:szCs w:val="22"/>
        </w:rPr>
      </w:pPr>
      <w:r>
        <w:rPr>
          <w:szCs w:val="22"/>
        </w:rPr>
        <w:t>The Annex on the technology status doesn’t aim to provide a detailed analysis of the value chains and technology description but instead an authorit</w:t>
      </w:r>
      <w:r>
        <w:rPr>
          <w:szCs w:val="22"/>
        </w:rPr>
        <w:t>ative presentation of the progress achieved by the technology developers and the industry and the readiness of the technologies for market deployment.</w:t>
      </w:r>
    </w:p>
    <w:p w:rsidR="006E1BDE" w:rsidRDefault="00244DD3">
      <w:pPr>
        <w:rPr>
          <w:szCs w:val="22"/>
        </w:rPr>
      </w:pPr>
      <w:r>
        <w:rPr>
          <w:szCs w:val="22"/>
        </w:rPr>
        <w:t xml:space="preserve">For the European technologies the authors based their analysis on the “Technology Status and Reliability </w:t>
      </w:r>
      <w:r>
        <w:rPr>
          <w:szCs w:val="22"/>
        </w:rPr>
        <w:t>of the value chains” report of the Sub Group on Advanced Biofuels that was published in March 2017</w:t>
      </w:r>
      <w:r>
        <w:rPr>
          <w:rStyle w:val="FootnoteReference"/>
          <w:szCs w:val="22"/>
        </w:rPr>
        <w:footnoteReference w:id="109"/>
      </w:r>
      <w:r>
        <w:rPr>
          <w:szCs w:val="22"/>
        </w:rPr>
        <w:t xml:space="preserve"> and presents the most recent description of the status of the various technologies. For the Indian technologies the authors assembled the information and da</w:t>
      </w:r>
      <w:r>
        <w:rPr>
          <w:szCs w:val="22"/>
        </w:rPr>
        <w:t xml:space="preserve">ta via personal contacts and visits to the technology developers. </w:t>
      </w:r>
    </w:p>
    <w:p w:rsidR="006E1BDE" w:rsidRDefault="00244DD3">
      <w:pPr>
        <w:rPr>
          <w:szCs w:val="22"/>
        </w:rPr>
      </w:pPr>
      <w:r>
        <w:rPr>
          <w:szCs w:val="22"/>
        </w:rPr>
        <w:t>The cost of advanced fuels is of critical importance as it compares the development cost to that of the commercial fossil fuels (petrol, diesel and kerosene). Detailed cost estimates are im</w:t>
      </w:r>
      <w:r>
        <w:rPr>
          <w:szCs w:val="22"/>
        </w:rPr>
        <w:t>possible to obtain as these are regarded as commercial secrets by the technology developers. The Sub Group on Advanced Biofuels carried out a comparative analysis of the costs of advanced fuels to that of fossil fuels, which is considered state of the art,</w:t>
      </w:r>
      <w:r>
        <w:rPr>
          <w:szCs w:val="22"/>
        </w:rPr>
        <w:t xml:space="preserve"> and as the most reliable information on this topic at present. Since it is not practical to derive any better data or information on advanced fuel costs; the key conclusions of the “Cost of Biofuel”</w:t>
      </w:r>
      <w:r>
        <w:rPr>
          <w:rStyle w:val="FootnoteReference"/>
          <w:szCs w:val="22"/>
        </w:rPr>
        <w:footnoteReference w:id="110"/>
      </w:r>
      <w:r>
        <w:rPr>
          <w:szCs w:val="22"/>
        </w:rPr>
        <w:t xml:space="preserve"> report of the Sub Group on Advanced Biofuels will be us</w:t>
      </w:r>
      <w:r>
        <w:rPr>
          <w:szCs w:val="22"/>
        </w:rPr>
        <w:t>ed in this report and wherever possible they will be updated from Indian data.</w:t>
      </w:r>
    </w:p>
    <w:p w:rsidR="006E1BDE" w:rsidRDefault="00244DD3">
      <w:pPr>
        <w:pStyle w:val="Heading4"/>
        <w:rPr>
          <w:sz w:val="22"/>
          <w:szCs w:val="22"/>
        </w:rPr>
      </w:pPr>
      <w:r>
        <w:rPr>
          <w:sz w:val="22"/>
          <w:szCs w:val="22"/>
        </w:rPr>
        <w:t>Definitions</w:t>
      </w:r>
    </w:p>
    <w:p w:rsidR="006E1BDE" w:rsidRDefault="00244DD3">
      <w:pPr>
        <w:keepNext/>
        <w:keepLines/>
        <w:rPr>
          <w:szCs w:val="22"/>
        </w:rPr>
      </w:pPr>
      <w:r>
        <w:rPr>
          <w:szCs w:val="22"/>
        </w:rPr>
        <w:t xml:space="preserve">To facilitate the reader, the following definitions are used through this Annex. They are the same as those used by the Sub Group on Advanced Biofuels in its final </w:t>
      </w:r>
      <w:r>
        <w:rPr>
          <w:szCs w:val="22"/>
        </w:rPr>
        <w:t>report “Building up the future”</w:t>
      </w:r>
      <w:r>
        <w:rPr>
          <w:rStyle w:val="FootnoteReference"/>
          <w:szCs w:val="22"/>
        </w:rPr>
        <w:footnoteReference w:id="111"/>
      </w:r>
      <w:r>
        <w:rPr>
          <w:szCs w:val="22"/>
        </w:rPr>
        <w:t>.</w:t>
      </w:r>
    </w:p>
    <w:p w:rsidR="006E1BDE" w:rsidRDefault="00244DD3">
      <w:pPr>
        <w:pStyle w:val="ListParagraph"/>
        <w:ind w:left="572" w:hanging="215"/>
        <w:rPr>
          <w:szCs w:val="22"/>
        </w:rPr>
      </w:pPr>
      <w:r>
        <w:rPr>
          <w:i/>
          <w:szCs w:val="22"/>
          <w:u w:val="single"/>
        </w:rPr>
        <w:t>Technology Readiness Level</w:t>
      </w:r>
      <w:r>
        <w:rPr>
          <w:szCs w:val="22"/>
        </w:rPr>
        <w:t xml:space="preserve"> (TRL)</w:t>
      </w:r>
      <w:r>
        <w:rPr>
          <w:rStyle w:val="FootnoteReference"/>
          <w:szCs w:val="22"/>
        </w:rPr>
        <w:footnoteReference w:id="112"/>
      </w:r>
      <w:r>
        <w:rPr>
          <w:szCs w:val="22"/>
        </w:rPr>
        <w:t xml:space="preserve"> according to NASA are a type of measurement system used to assess the maturity level of a particular technology. In the EU the TRL are defined</w:t>
      </w:r>
      <w:r>
        <w:rPr>
          <w:rStyle w:val="FootnoteReference"/>
          <w:szCs w:val="22"/>
        </w:rPr>
        <w:footnoteReference w:id="113"/>
      </w:r>
      <w:r>
        <w:rPr>
          <w:szCs w:val="22"/>
        </w:rPr>
        <w:t xml:space="preserve"> in the Horizon 2020 programme</w:t>
      </w:r>
      <w:r>
        <w:rPr>
          <w:rStyle w:val="FootnoteReference"/>
          <w:szCs w:val="22"/>
        </w:rPr>
        <w:footnoteReference w:id="114"/>
      </w:r>
      <w:r>
        <w:rPr>
          <w:szCs w:val="22"/>
        </w:rPr>
        <w:t>.</w:t>
      </w:r>
    </w:p>
    <w:p w:rsidR="006E1BDE" w:rsidRDefault="00244DD3">
      <w:pPr>
        <w:pStyle w:val="ListParagraph"/>
        <w:rPr>
          <w:szCs w:val="22"/>
        </w:rPr>
      </w:pPr>
      <w:r>
        <w:rPr>
          <w:i/>
          <w:szCs w:val="22"/>
          <w:u w:val="single"/>
        </w:rPr>
        <w:t>Advanced Bio</w:t>
      </w:r>
      <w:r>
        <w:rPr>
          <w:i/>
          <w:szCs w:val="22"/>
          <w:u w:val="single"/>
        </w:rPr>
        <w:t>fuels</w:t>
      </w:r>
      <w:r>
        <w:rPr>
          <w:szCs w:val="22"/>
        </w:rPr>
        <w:t xml:space="preserve"> are those produced from biomass (a) other than food/feed crops while meeting the EU/Indian sustainability regime (b) under the legislation in force (c).</w:t>
      </w:r>
    </w:p>
    <w:p w:rsidR="006E1BDE" w:rsidRDefault="00244DD3">
      <w:pPr>
        <w:pStyle w:val="ListParagraph"/>
        <w:numPr>
          <w:ilvl w:val="1"/>
          <w:numId w:val="5"/>
        </w:numPr>
        <w:rPr>
          <w:szCs w:val="22"/>
        </w:rPr>
      </w:pPr>
      <w:r>
        <w:rPr>
          <w:szCs w:val="22"/>
        </w:rPr>
        <w:t xml:space="preserve">a) </w:t>
      </w:r>
      <w:r>
        <w:rPr>
          <w:i/>
          <w:szCs w:val="22"/>
          <w:u w:val="single"/>
        </w:rPr>
        <w:t>Biomass</w:t>
      </w:r>
      <w:r>
        <w:rPr>
          <w:szCs w:val="22"/>
        </w:rPr>
        <w:t xml:space="preserve"> as defined under RED or any amendment to it and or Indian legislation.</w:t>
      </w:r>
    </w:p>
    <w:p w:rsidR="006E1BDE" w:rsidRDefault="00244DD3">
      <w:pPr>
        <w:pStyle w:val="ListParagraph"/>
        <w:numPr>
          <w:ilvl w:val="1"/>
          <w:numId w:val="5"/>
        </w:numPr>
        <w:rPr>
          <w:szCs w:val="22"/>
        </w:rPr>
      </w:pPr>
      <w:r>
        <w:rPr>
          <w:szCs w:val="22"/>
        </w:rPr>
        <w:t xml:space="preserve">b) </w:t>
      </w:r>
      <w:r>
        <w:rPr>
          <w:i/>
          <w:szCs w:val="22"/>
          <w:u w:val="single"/>
        </w:rPr>
        <w:t>Sustainabili</w:t>
      </w:r>
      <w:r>
        <w:rPr>
          <w:i/>
          <w:szCs w:val="22"/>
          <w:u w:val="single"/>
        </w:rPr>
        <w:t>ty regime</w:t>
      </w:r>
      <w:r>
        <w:rPr>
          <w:szCs w:val="22"/>
        </w:rPr>
        <w:t xml:space="preserve"> as defined under EU Legislation and or Indian legislation.</w:t>
      </w:r>
    </w:p>
    <w:p w:rsidR="006E1BDE" w:rsidRDefault="00244DD3">
      <w:pPr>
        <w:pStyle w:val="ListParagraph"/>
        <w:numPr>
          <w:ilvl w:val="1"/>
          <w:numId w:val="5"/>
        </w:numPr>
        <w:rPr>
          <w:szCs w:val="22"/>
        </w:rPr>
      </w:pPr>
      <w:r>
        <w:rPr>
          <w:szCs w:val="22"/>
        </w:rPr>
        <w:t>c) Existing legislation in force at the time of consideration.</w:t>
      </w:r>
    </w:p>
    <w:p w:rsidR="006E1BDE" w:rsidRDefault="00244DD3">
      <w:pPr>
        <w:pStyle w:val="ListParagraph"/>
        <w:ind w:left="572" w:hanging="215"/>
        <w:rPr>
          <w:szCs w:val="22"/>
        </w:rPr>
      </w:pPr>
      <w:r>
        <w:rPr>
          <w:i/>
          <w:szCs w:val="22"/>
          <w:u w:val="single"/>
        </w:rPr>
        <w:t>Advanced Renewable Fuels</w:t>
      </w:r>
      <w:r>
        <w:rPr>
          <w:szCs w:val="22"/>
        </w:rPr>
        <w:t xml:space="preserve"> are advanced biofuels, and, liquid and gaseous fuels produced from renewable intermediates or renew</w:t>
      </w:r>
      <w:r>
        <w:rPr>
          <w:szCs w:val="22"/>
        </w:rPr>
        <w:t xml:space="preserve">able process by-products (H2, CO, CO2 etc.). </w:t>
      </w:r>
    </w:p>
    <w:p w:rsidR="006E1BDE" w:rsidRDefault="00244DD3">
      <w:pPr>
        <w:pStyle w:val="ListParagraph"/>
        <w:ind w:left="572" w:hanging="215"/>
        <w:rPr>
          <w:szCs w:val="22"/>
        </w:rPr>
      </w:pPr>
      <w:r>
        <w:rPr>
          <w:i/>
          <w:szCs w:val="22"/>
          <w:u w:val="single"/>
        </w:rPr>
        <w:t>e-Fuels</w:t>
      </w:r>
      <w:r>
        <w:rPr>
          <w:szCs w:val="22"/>
        </w:rPr>
        <w:t xml:space="preserve"> are Advanced Renewable Fuels produced from renewable electricity via electrolysis. </w:t>
      </w:r>
    </w:p>
    <w:p w:rsidR="006E1BDE" w:rsidRDefault="00244DD3">
      <w:pPr>
        <w:pStyle w:val="ListParagraph"/>
        <w:ind w:left="572" w:hanging="215"/>
        <w:rPr>
          <w:szCs w:val="22"/>
        </w:rPr>
      </w:pPr>
      <w:r>
        <w:rPr>
          <w:i/>
          <w:szCs w:val="22"/>
          <w:u w:val="single"/>
        </w:rPr>
        <w:t>Low Carbon Fossil Fuels</w:t>
      </w:r>
      <w:r>
        <w:rPr>
          <w:szCs w:val="22"/>
        </w:rPr>
        <w:t xml:space="preserve"> are liquid and gaseous fuels produced by the conversion of exhaust or waste streams of fossil </w:t>
      </w:r>
      <w:r>
        <w:rPr>
          <w:szCs w:val="22"/>
        </w:rPr>
        <w:t>fuel industrial applications via catalytic, chemical, biological or biochemical processes.</w:t>
      </w:r>
    </w:p>
    <w:p w:rsidR="006E1BDE" w:rsidRDefault="00244DD3">
      <w:pPr>
        <w:pStyle w:val="Heading4"/>
        <w:rPr>
          <w:sz w:val="22"/>
          <w:szCs w:val="22"/>
        </w:rPr>
      </w:pPr>
      <w:r>
        <w:rPr>
          <w:sz w:val="22"/>
          <w:szCs w:val="22"/>
        </w:rPr>
        <w:t>Structure of the Annex</w:t>
      </w:r>
    </w:p>
    <w:p w:rsidR="006E1BDE" w:rsidRDefault="00244DD3">
      <w:pPr>
        <w:rPr>
          <w:szCs w:val="22"/>
        </w:rPr>
      </w:pPr>
      <w:r>
        <w:rPr>
          <w:szCs w:val="22"/>
        </w:rPr>
        <w:t>The Annex will start with a summary of the cost of biofuels to be followed by the description of the various value chains and their correspond</w:t>
      </w:r>
      <w:r>
        <w:rPr>
          <w:szCs w:val="22"/>
        </w:rPr>
        <w:t>ing technology readiness.</w:t>
      </w:r>
    </w:p>
    <w:p w:rsidR="006E1BDE" w:rsidRDefault="00244DD3">
      <w:pPr>
        <w:rPr>
          <w:rFonts w:eastAsiaTheme="majorEastAsia" w:cstheme="majorBidi"/>
          <w:b/>
          <w:bCs/>
          <w:color w:val="665E5A" w:themeColor="accent3"/>
          <w:szCs w:val="22"/>
        </w:rPr>
      </w:pPr>
      <w:r>
        <w:rPr>
          <w:szCs w:val="22"/>
        </w:rPr>
        <w:t>The structure followed in this Annex is to start with the description of the technologies and value chains at the highest TRL 9 (</w:t>
      </w:r>
      <w:r>
        <w:rPr>
          <w:i/>
          <w:szCs w:val="22"/>
        </w:rPr>
        <w:t xml:space="preserve">actual system proven in operational environment (competitive manufacturing in the case of key </w:t>
      </w:r>
      <w:r>
        <w:rPr>
          <w:i/>
          <w:szCs w:val="22"/>
        </w:rPr>
        <w:t>enabling technologies; or in space</w:t>
      </w:r>
      <w:r>
        <w:rPr>
          <w:szCs w:val="22"/>
        </w:rPr>
        <w:t>), then with those at TRL 8 (</w:t>
      </w:r>
      <w:r>
        <w:rPr>
          <w:i/>
          <w:szCs w:val="22"/>
        </w:rPr>
        <w:t>system complete and qualified</w:t>
      </w:r>
      <w:r>
        <w:rPr>
          <w:szCs w:val="22"/>
        </w:rPr>
        <w:t>) to be followed by those at TRL 7 (</w:t>
      </w:r>
      <w:r>
        <w:rPr>
          <w:i/>
          <w:szCs w:val="22"/>
        </w:rPr>
        <w:t>system prototype demonstration in operational environment</w:t>
      </w:r>
      <w:r>
        <w:rPr>
          <w:szCs w:val="22"/>
        </w:rPr>
        <w:t>) and finally those at TRL 6 (</w:t>
      </w:r>
      <w:r>
        <w:rPr>
          <w:i/>
          <w:szCs w:val="22"/>
        </w:rPr>
        <w:t>technology demonstrated in relevant envir</w:t>
      </w:r>
      <w:r>
        <w:rPr>
          <w:i/>
          <w:szCs w:val="22"/>
        </w:rPr>
        <w:t>onment (industrially relevant environment in the case of key enabling technologies)</w:t>
      </w:r>
      <w:r>
        <w:rPr>
          <w:szCs w:val="22"/>
        </w:rPr>
        <w:t>). Each technology and value chain first discusses the European examples and is then followed by the Indian examples.</w:t>
      </w:r>
      <w:r>
        <w:rPr>
          <w:szCs w:val="22"/>
        </w:rPr>
        <w:br w:type="page"/>
      </w:r>
    </w:p>
    <w:p w:rsidR="006E1BDE" w:rsidRDefault="00244DD3">
      <w:pPr>
        <w:pStyle w:val="Heading2"/>
      </w:pPr>
      <w:bookmarkStart w:id="61" w:name="_Toc516598378"/>
      <w:r>
        <w:t>Different processes to convert biomass to energy</w:t>
      </w:r>
      <w:bookmarkEnd w:id="61"/>
    </w:p>
    <w:p w:rsidR="006E1BDE" w:rsidRDefault="00244DD3">
      <w:pPr>
        <w:rPr>
          <w:szCs w:val="22"/>
        </w:rPr>
      </w:pPr>
      <w:r>
        <w:rPr>
          <w:szCs w:val="22"/>
        </w:rPr>
        <w:t>Bioma</w:t>
      </w:r>
      <w:r>
        <w:rPr>
          <w:szCs w:val="22"/>
        </w:rPr>
        <w:t>ss resources can be converted to energy via thermochemical and biological processing. The key difference between thermochemical and biological conversion is that biological conversion gives single or specific products such as ethanol or biogas and is a rel</w:t>
      </w:r>
      <w:r>
        <w:rPr>
          <w:szCs w:val="22"/>
        </w:rPr>
        <w:t>atively slow process, typically taking hours, days, weeks (e.g. anaerobic fermentation and farm digestion) or years (e.g. landfill gas by digestion) for reactions to be completed. Thermochemical conversion gives multiple and often complex products, with ca</w:t>
      </w:r>
      <w:r>
        <w:rPr>
          <w:szCs w:val="22"/>
        </w:rPr>
        <w:t xml:space="preserve">talysts often used to improve the product quality or spectrum, and takes place in very short reaction times of typically seconds or minutes. Another distinction is that thermochemical processing take place at high temperature, typically above 500°C, while </w:t>
      </w:r>
      <w:r>
        <w:rPr>
          <w:szCs w:val="22"/>
        </w:rPr>
        <w:t>biological processing take place at temperatures below 60°C. In the former catalysts are being used to maximize the yield of the desirable product while in the later living organisms such as bacteria, enzymes and yeasts are used. A final distinction is tha</w:t>
      </w:r>
      <w:r>
        <w:rPr>
          <w:szCs w:val="22"/>
        </w:rPr>
        <w:t xml:space="preserve">t thermochemical processing can take place under elevated pressure conditions while biological processing takes place under atmospheric conditions. </w:t>
      </w:r>
    </w:p>
    <w:p w:rsidR="006E1BDE" w:rsidRDefault="00244DD3">
      <w:pPr>
        <w:pStyle w:val="Heading2"/>
      </w:pPr>
      <w:bookmarkStart w:id="62" w:name="_Toc516598379"/>
      <w:r>
        <w:t>Thermochemical Processing</w:t>
      </w:r>
      <w:bookmarkEnd w:id="62"/>
    </w:p>
    <w:p w:rsidR="006E1BDE" w:rsidRDefault="00244DD3">
      <w:pPr>
        <w:pStyle w:val="Heading3"/>
        <w:rPr>
          <w:szCs w:val="22"/>
        </w:rPr>
      </w:pPr>
      <w:bookmarkStart w:id="63" w:name="_Toc516598380"/>
      <w:r>
        <w:rPr>
          <w:szCs w:val="22"/>
        </w:rPr>
        <w:t>Introduction</w:t>
      </w:r>
      <w:bookmarkEnd w:id="63"/>
    </w:p>
    <w:p w:rsidR="006E1BDE" w:rsidRDefault="00244DD3">
      <w:pPr>
        <w:keepNext/>
        <w:keepLines/>
        <w:rPr>
          <w:szCs w:val="22"/>
        </w:rPr>
      </w:pPr>
      <w:r>
        <w:rPr>
          <w:szCs w:val="22"/>
        </w:rPr>
        <w:t xml:space="preserve">Thermochemical processing has been attracting significant interest, </w:t>
      </w:r>
      <w:r>
        <w:rPr>
          <w:szCs w:val="22"/>
        </w:rPr>
        <w:t>and gasification has received the most RD&amp;D support as it offers high efficiencies and the potential to produce biofuels via the synthesis gas (CO+H2) route over dedicated catalysts. Fast pyrolysis has also progressed well and offers the benefits of a liqu</w:t>
      </w:r>
      <w:r>
        <w:rPr>
          <w:szCs w:val="22"/>
        </w:rPr>
        <w:t>id fuel with concomitant advantages of easy storage and transport as well as comparable power generation efficiencies at the smaller scales of operation that are likely to be realized from bio-energy systems as compared with fossil fuelled systems. However</w:t>
      </w:r>
      <w:r>
        <w:rPr>
          <w:szCs w:val="22"/>
        </w:rPr>
        <w:t>, the upgrading of pyrolysis oils to biofuels is considered very expensive (due to the removal of oxygen) and at present the technology developers are moving towards co-processing pyrolysis oils in petroleum refineries. The higher efficiency of gasificatio</w:t>
      </w:r>
      <w:r>
        <w:rPr>
          <w:szCs w:val="22"/>
        </w:rPr>
        <w:t xml:space="preserve">n systems arises from high efficiency in converting to a gas (up to 98% hot gas efficiency is realizable), and higher efficiencies in utilizing heat from combustion of gas. </w:t>
      </w:r>
    </w:p>
    <w:p w:rsidR="006E1BDE" w:rsidRDefault="00244DD3">
      <w:pPr>
        <w:rPr>
          <w:szCs w:val="22"/>
        </w:rPr>
      </w:pPr>
      <w:r>
        <w:rPr>
          <w:szCs w:val="22"/>
        </w:rPr>
        <w:t xml:space="preserve">In all cases, a commercial process comprises four main stages from feed reception </w:t>
      </w:r>
      <w:r>
        <w:rPr>
          <w:szCs w:val="22"/>
        </w:rPr>
        <w:t>to delivery of one or more useful products</w:t>
      </w:r>
      <w:r>
        <w:rPr>
          <w:rStyle w:val="FootnoteReference"/>
          <w:szCs w:val="22"/>
        </w:rPr>
        <w:footnoteReference w:id="115"/>
      </w:r>
      <w:r>
        <w:rPr>
          <w:szCs w:val="22"/>
        </w:rPr>
        <w:t>:</w:t>
      </w:r>
    </w:p>
    <w:p w:rsidR="006E1BDE" w:rsidRDefault="00244DD3">
      <w:pPr>
        <w:numPr>
          <w:ilvl w:val="0"/>
          <w:numId w:val="3"/>
        </w:numPr>
        <w:tabs>
          <w:tab w:val="left" w:pos="709"/>
        </w:tabs>
        <w:spacing w:before="120"/>
        <w:rPr>
          <w:szCs w:val="22"/>
        </w:rPr>
      </w:pPr>
      <w:r>
        <w:rPr>
          <w:szCs w:val="22"/>
        </w:rPr>
        <w:t>Feed reception, storage, handling and pre-treatment;</w:t>
      </w:r>
    </w:p>
    <w:p w:rsidR="006E1BDE" w:rsidRDefault="00244DD3">
      <w:pPr>
        <w:numPr>
          <w:ilvl w:val="0"/>
          <w:numId w:val="3"/>
        </w:numPr>
        <w:tabs>
          <w:tab w:val="left" w:pos="709"/>
        </w:tabs>
        <w:spacing w:before="120"/>
        <w:rPr>
          <w:szCs w:val="22"/>
        </w:rPr>
      </w:pPr>
      <w:r>
        <w:rPr>
          <w:szCs w:val="22"/>
        </w:rPr>
        <w:t>Conversion of solid biomass to a more usable form of energy by means such as gasification or pyrolysis;</w:t>
      </w:r>
    </w:p>
    <w:p w:rsidR="006E1BDE" w:rsidRDefault="00244DD3">
      <w:pPr>
        <w:numPr>
          <w:ilvl w:val="0"/>
          <w:numId w:val="3"/>
        </w:numPr>
        <w:tabs>
          <w:tab w:val="left" w:pos="709"/>
        </w:tabs>
        <w:spacing w:before="120"/>
        <w:rPr>
          <w:szCs w:val="22"/>
        </w:rPr>
      </w:pPr>
      <w:r>
        <w:rPr>
          <w:szCs w:val="22"/>
        </w:rPr>
        <w:t>Primary product refining or clean-up;</w:t>
      </w:r>
    </w:p>
    <w:p w:rsidR="006E1BDE" w:rsidRDefault="00244DD3">
      <w:pPr>
        <w:numPr>
          <w:ilvl w:val="0"/>
          <w:numId w:val="3"/>
        </w:numPr>
        <w:tabs>
          <w:tab w:val="left" w:pos="709"/>
        </w:tabs>
        <w:spacing w:before="120"/>
        <w:rPr>
          <w:szCs w:val="22"/>
        </w:rPr>
      </w:pPr>
      <w:r>
        <w:rPr>
          <w:szCs w:val="22"/>
        </w:rPr>
        <w:t>Conversion of th</w:t>
      </w:r>
      <w:r>
        <w:rPr>
          <w:szCs w:val="22"/>
        </w:rPr>
        <w:t>e primary product to a marketable end-product such as electricity, heat, liquid biofuels or chemicals.</w:t>
      </w:r>
    </w:p>
    <w:p w:rsidR="006E1BDE" w:rsidRDefault="00244DD3">
      <w:pPr>
        <w:rPr>
          <w:szCs w:val="22"/>
        </w:rPr>
      </w:pPr>
      <w:r>
        <w:rPr>
          <w:szCs w:val="22"/>
        </w:rPr>
        <w:t>The presentation of the value chains will be done on the basis of those at the highest TRL and will proceed to those with lower TRL up to a TRL 6. A shor</w:t>
      </w:r>
      <w:r>
        <w:rPr>
          <w:szCs w:val="22"/>
        </w:rPr>
        <w:t>t process description will be provided for each value chain to be followed by a table listing the technology developers, their plants or projects and finally the status of their technology development. This will be followed by a short description of the va</w:t>
      </w:r>
      <w:r>
        <w:rPr>
          <w:szCs w:val="22"/>
        </w:rPr>
        <w:t>rious plants or projects.</w:t>
      </w:r>
    </w:p>
    <w:p w:rsidR="006E1BDE" w:rsidRDefault="00244DD3">
      <w:pPr>
        <w:rPr>
          <w:szCs w:val="22"/>
          <w:u w:val="single"/>
        </w:rPr>
      </w:pPr>
      <w:r>
        <w:rPr>
          <w:szCs w:val="22"/>
        </w:rPr>
        <w:t>There are mainly two thermochemical processes, gasification and pyrolysis and Figure 3 below shows their respective applications</w:t>
      </w:r>
      <w:r>
        <w:rPr>
          <w:rStyle w:val="FootnoteReference"/>
          <w:szCs w:val="22"/>
        </w:rPr>
        <w:footnoteReference w:id="116"/>
      </w:r>
      <w:r>
        <w:rPr>
          <w:szCs w:val="22"/>
        </w:rPr>
        <w:t xml:space="preserve">. For interest to this study the first, second and fourth value chains are of interest while the </w:t>
      </w:r>
      <w:r>
        <w:rPr>
          <w:szCs w:val="22"/>
        </w:rPr>
        <w:t>third one, for power and heat, is out of scope. This is because the power and heat value chain does not produce biofuels. Although the hydrotreated vegetable oils value chain is not shown per se in Figure 3, it will be addressed under this section.</w:t>
      </w:r>
    </w:p>
    <w:p w:rsidR="006E1BDE" w:rsidRDefault="00244DD3">
      <w:pPr>
        <w:pStyle w:val="Caption"/>
        <w:rPr>
          <w:szCs w:val="22"/>
        </w:rPr>
      </w:pPr>
      <w:r>
        <w:rPr>
          <w:szCs w:val="22"/>
        </w:rPr>
        <w:t xml:space="preserve">Figure </w:t>
      </w:r>
      <w:r>
        <w:rPr>
          <w:szCs w:val="22"/>
        </w:rPr>
        <w:t>3: Thermochemical value chains</w:t>
      </w:r>
    </w:p>
    <w:p w:rsidR="006E1BDE" w:rsidRDefault="00244DD3">
      <w:pPr>
        <w:jc w:val="center"/>
        <w:rPr>
          <w:szCs w:val="22"/>
        </w:rPr>
      </w:pPr>
      <w:r>
        <w:rPr>
          <w:rFonts w:eastAsia="Times New Roman"/>
          <w:noProof/>
          <w:szCs w:val="22"/>
          <w:lang w:eastAsia="en-GB"/>
        </w:rPr>
        <w:drawing>
          <wp:inline distT="0" distB="0" distL="0" distR="0">
            <wp:extent cx="4380509" cy="2905125"/>
            <wp:effectExtent l="0" t="0" r="127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descr="http://www.biofuelstp.eu/images/eibi_thermochemical_large.jpg"/>
                    <pic:cNvPicPr>
                      <a:picLocks noChangeAspect="1" noChangeArrowheads="1"/>
                    </pic:cNvPicPr>
                  </pic:nvPicPr>
                  <pic:blipFill>
                    <a:blip r:embed="rId18" cstate="print"/>
                    <a:srcRect/>
                    <a:stretch>
                      <a:fillRect/>
                    </a:stretch>
                  </pic:blipFill>
                  <pic:spPr bwMode="auto">
                    <a:xfrm>
                      <a:off x="0" y="0"/>
                      <a:ext cx="4381418" cy="2905728"/>
                    </a:xfrm>
                    <a:prstGeom prst="rect">
                      <a:avLst/>
                    </a:prstGeom>
                    <a:noFill/>
                  </pic:spPr>
                </pic:pic>
              </a:graphicData>
            </a:graphic>
          </wp:inline>
        </w:drawing>
      </w:r>
    </w:p>
    <w:p w:rsidR="006E1BDE" w:rsidRDefault="00244DD3">
      <w:pPr>
        <w:rPr>
          <w:szCs w:val="22"/>
        </w:rPr>
      </w:pPr>
      <w:r>
        <w:rPr>
          <w:szCs w:val="22"/>
        </w:rPr>
        <w:t xml:space="preserve">Synthesis gas can be produced from biomass and related waste streams either by partial oxidation to give a mixture of carbon monoxide, carbon dioxide, hydrogen and methane with nitrogen if air is used as the oxidant, or by </w:t>
      </w:r>
      <w:r>
        <w:rPr>
          <w:szCs w:val="22"/>
        </w:rPr>
        <w:t xml:space="preserve">steam or pyrolytic gasification. The process of gasification occurs in a number of sequential steps: </w:t>
      </w:r>
    </w:p>
    <w:p w:rsidR="006E1BDE" w:rsidRDefault="00244DD3">
      <w:pPr>
        <w:pStyle w:val="ListParagraph"/>
        <w:ind w:left="572" w:hanging="215"/>
        <w:rPr>
          <w:szCs w:val="22"/>
        </w:rPr>
      </w:pPr>
      <w:r>
        <w:rPr>
          <w:szCs w:val="22"/>
        </w:rPr>
        <w:t>drying to evaporate moisture;</w:t>
      </w:r>
    </w:p>
    <w:p w:rsidR="006E1BDE" w:rsidRDefault="00244DD3">
      <w:pPr>
        <w:pStyle w:val="ListParagraph"/>
        <w:ind w:left="572" w:hanging="215"/>
        <w:rPr>
          <w:szCs w:val="22"/>
        </w:rPr>
      </w:pPr>
      <w:r>
        <w:rPr>
          <w:szCs w:val="22"/>
        </w:rPr>
        <w:t>pyrolysis to give gas, vaporised tars or oils and a solid char residue;</w:t>
      </w:r>
    </w:p>
    <w:p w:rsidR="006E1BDE" w:rsidRDefault="00244DD3">
      <w:pPr>
        <w:pStyle w:val="ListParagraph"/>
        <w:ind w:left="572" w:hanging="215"/>
        <w:rPr>
          <w:szCs w:val="22"/>
        </w:rPr>
      </w:pPr>
      <w:r>
        <w:rPr>
          <w:szCs w:val="22"/>
        </w:rPr>
        <w:t>gasification or partial oxidation of the solid char,</w:t>
      </w:r>
      <w:r>
        <w:rPr>
          <w:szCs w:val="22"/>
        </w:rPr>
        <w:t xml:space="preserve"> pyrolysis tars and pyrolysis gases.</w:t>
      </w:r>
    </w:p>
    <w:p w:rsidR="006E1BDE" w:rsidRDefault="00244DD3">
      <w:pPr>
        <w:rPr>
          <w:szCs w:val="22"/>
        </w:rPr>
      </w:pPr>
      <w:r>
        <w:rPr>
          <w:szCs w:val="22"/>
        </w:rPr>
        <w:t>The first step, drying, is a relatively fast process. The second step, pyrolysis, is also relatively fast but it is a complex process that gives rise to the tars that cause so many problems in gasification processes. Wh</w:t>
      </w:r>
      <w:r>
        <w:rPr>
          <w:szCs w:val="22"/>
        </w:rPr>
        <w:t xml:space="preserve">en a solid fuel is heated to 300–500 C in the absence of an oxidising agent, it pyrolyses to solid char, condensable hydrocarbons or tar and gases. The relative yields of gas, liquid and char mainly depend on the rate of heating and the final temperature, </w:t>
      </w:r>
      <w:r>
        <w:rPr>
          <w:szCs w:val="22"/>
        </w:rPr>
        <w:t>and this is discussed later in the section on fast pyrolysis. In gasification by partial oxidation, the gas, liquid and solid products of pyrolysis then react with the oxidising agent—usually air—to give the permanent gases CO, CO2, H2, and lesser quantiti</w:t>
      </w:r>
      <w:r>
        <w:rPr>
          <w:szCs w:val="22"/>
        </w:rPr>
        <w:t xml:space="preserve">es of hydrocarbon gases. </w:t>
      </w:r>
    </w:p>
    <w:p w:rsidR="006E1BDE" w:rsidRDefault="00244DD3">
      <w:pPr>
        <w:rPr>
          <w:szCs w:val="22"/>
        </w:rPr>
      </w:pPr>
      <w:r>
        <w:rPr>
          <w:szCs w:val="22"/>
        </w:rPr>
        <w:t>However, for the processes to produce advanced biofuels only steam or oxygen gasification can provide a gas quality that after treatment can yield a synthesis gas while that or air gasification is mainly used for CHP applications.</w:t>
      </w:r>
    </w:p>
    <w:p w:rsidR="006E1BDE" w:rsidRDefault="00244DD3">
      <w:pPr>
        <w:rPr>
          <w:szCs w:val="22"/>
        </w:rPr>
      </w:pPr>
      <w:r>
        <w:rPr>
          <w:szCs w:val="22"/>
        </w:rPr>
        <w:t>Generally, in gasification processes, pyrolysis proceeds much faster than char gasification, which involves relatively slow gas–solid reactions between oxygen and char and is the rate-controlling step. Char gasification is the interactive combination of s</w:t>
      </w:r>
      <w:r>
        <w:rPr>
          <w:szCs w:val="22"/>
        </w:rPr>
        <w:t xml:space="preserve">everal gas–solid and gas–gas reactions in which solid carbon is oxidised to carbon monoxide and carbon dioxide, and hydrogen is generated through the water-gas shift reaction. The gas–solid reactions of char oxidation are the slowest and limit the overall </w:t>
      </w:r>
      <w:r>
        <w:rPr>
          <w:szCs w:val="22"/>
        </w:rPr>
        <w:t>rate of the gasification process. Many of these are catalysed by the alkali metals present in wood ash, but still do not reach equilibrium. The composition of the gas from char gasification and partial oxidation of the other pyrolysis products is influence</w:t>
      </w:r>
      <w:r>
        <w:rPr>
          <w:szCs w:val="22"/>
        </w:rPr>
        <w:t xml:space="preserve">d by many factors, including feed composition, water content, reaction temperature and the extent of oxidation of the pyrolysis products. However, the overall composition is essentially the equilibrium composition of the C–H–O system at the temperature of </w:t>
      </w:r>
      <w:r>
        <w:rPr>
          <w:szCs w:val="22"/>
        </w:rPr>
        <w:t>gasification. Table 4 shows the basic modes of gasification</w:t>
      </w:r>
      <w:r>
        <w:rPr>
          <w:rStyle w:val="FootnoteReference"/>
          <w:szCs w:val="22"/>
        </w:rPr>
        <w:footnoteReference w:id="117"/>
      </w:r>
      <w:r>
        <w:rPr>
          <w:szCs w:val="22"/>
        </w:rPr>
        <w:t>.</w:t>
      </w:r>
    </w:p>
    <w:p w:rsidR="006E1BDE" w:rsidRDefault="00244DD3">
      <w:pPr>
        <w:pStyle w:val="Caption"/>
        <w:rPr>
          <w:szCs w:val="22"/>
        </w:rPr>
      </w:pPr>
      <w:r>
        <w:rPr>
          <w:szCs w:val="22"/>
        </w:rPr>
        <w:t>Table 4: Modes of thermal gasification</w:t>
      </w:r>
    </w:p>
    <w:tbl>
      <w:tblPr>
        <w:tblStyle w:val="GridTable5Dark-Accent11"/>
        <w:tblW w:w="0" w:type="auto"/>
        <w:jc w:val="center"/>
        <w:tblLook w:val="0000" w:firstRow="0" w:lastRow="0" w:firstColumn="0" w:lastColumn="0" w:noHBand="0" w:noVBand="0"/>
      </w:tblPr>
      <w:tblGrid>
        <w:gridCol w:w="1741"/>
        <w:gridCol w:w="6556"/>
      </w:tblGrid>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keepNext/>
              <w:keepLines/>
              <w:spacing w:before="60" w:after="80"/>
              <w:jc w:val="center"/>
              <w:rPr>
                <w:b/>
                <w:bCs/>
              </w:rPr>
            </w:pPr>
            <w:r>
              <w:rPr>
                <w:b/>
                <w:bCs/>
              </w:rPr>
              <w:t>Gasification mode</w:t>
            </w:r>
          </w:p>
        </w:tc>
        <w:tc>
          <w:tcPr>
            <w:tcW w:w="0" w:type="auto"/>
            <w:vAlign w:val="center"/>
          </w:tcPr>
          <w:p w:rsidR="006E1BDE" w:rsidRDefault="00244DD3">
            <w:pPr>
              <w:pStyle w:val="Normale"/>
              <w:keepNext/>
              <w:keepLines/>
              <w:widowControl/>
              <w:spacing w:before="60" w:after="80" w:line="276" w:lineRule="auto"/>
              <w:jc w:val="center"/>
              <w:cnfStyle w:val="000000100000" w:firstRow="0" w:lastRow="0" w:firstColumn="0" w:lastColumn="0" w:oddVBand="0" w:evenVBand="0" w:oddHBand="1" w:evenHBand="0" w:firstRowFirstColumn="0" w:firstRowLastColumn="0" w:lastRowFirstColumn="0" w:lastRowLastColumn="0"/>
              <w:rPr>
                <w:rFonts w:ascii="Candara" w:hAnsi="Candara"/>
                <w:b/>
                <w:bCs/>
                <w:lang w:val="en-GB"/>
              </w:rPr>
            </w:pPr>
            <w:r>
              <w:rPr>
                <w:rFonts w:ascii="Candara" w:hAnsi="Candara"/>
                <w:b/>
                <w:bCs/>
                <w:lang w:val="en-GB"/>
              </w:rPr>
              <w:t>Characteristics</w:t>
            </w:r>
          </w:p>
        </w:tc>
      </w:tr>
      <w:tr w:rsidR="006E1BDE" w:rsidTr="006E1BDE">
        <w:trPr>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keepNext/>
              <w:spacing w:before="40" w:after="40"/>
              <w:jc w:val="center"/>
            </w:pPr>
            <w:r>
              <w:t>Partial oxidation with air</w:t>
            </w:r>
          </w:p>
        </w:tc>
        <w:tc>
          <w:tcPr>
            <w:tcW w:w="0" w:type="auto"/>
          </w:tcPr>
          <w:p w:rsidR="006E1BDE" w:rsidRDefault="00244DD3">
            <w:pPr>
              <w:keepNext/>
              <w:spacing w:before="40" w:after="40"/>
              <w:cnfStyle w:val="000000000000" w:firstRow="0" w:lastRow="0" w:firstColumn="0" w:lastColumn="0" w:oddVBand="0" w:evenVBand="0" w:oddHBand="0" w:evenHBand="0" w:firstRowFirstColumn="0" w:firstRowLastColumn="0" w:lastRowFirstColumn="0" w:lastRowLastColumn="0"/>
            </w:pPr>
            <w:r>
              <w:t>The main products are CO, CO</w:t>
            </w:r>
            <w:r>
              <w:rPr>
                <w:vertAlign w:val="subscript"/>
              </w:rPr>
              <w:t>2</w:t>
            </w:r>
            <w:r>
              <w:t>, H</w:t>
            </w:r>
            <w:r>
              <w:rPr>
                <w:vertAlign w:val="subscript"/>
              </w:rPr>
              <w:t>2</w:t>
            </w:r>
            <w:r>
              <w:t>, CH</w:t>
            </w:r>
            <w:r>
              <w:rPr>
                <w:vertAlign w:val="subscript"/>
              </w:rPr>
              <w:t>4</w:t>
            </w:r>
            <w:r>
              <w:t>, N</w:t>
            </w:r>
            <w:r>
              <w:rPr>
                <w:vertAlign w:val="subscript"/>
              </w:rPr>
              <w:t>2</w:t>
            </w:r>
            <w:r>
              <w:t xml:space="preserve"> and tar, giving a low heating value gas of ~5MJ/m</w:t>
            </w:r>
            <w:r>
              <w:rPr>
                <w:vertAlign w:val="superscript"/>
              </w:rPr>
              <w:t>3</w:t>
            </w:r>
            <w:r>
              <w:t>. Utilisation problems can arise in combustion, particularly in gas turbines.</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keepNext/>
              <w:spacing w:before="40" w:after="40"/>
              <w:jc w:val="center"/>
            </w:pPr>
            <w:r>
              <w:t>Partial oxidation with oxygen</w:t>
            </w:r>
          </w:p>
        </w:tc>
        <w:tc>
          <w:tcPr>
            <w:tcW w:w="0" w:type="auto"/>
            <w:vAlign w:val="center"/>
          </w:tcPr>
          <w:p w:rsidR="006E1BDE" w:rsidRDefault="00244DD3">
            <w:pPr>
              <w:keepNext/>
              <w:spacing w:before="40" w:after="40"/>
              <w:cnfStyle w:val="000000100000" w:firstRow="0" w:lastRow="0" w:firstColumn="0" w:lastColumn="0" w:oddVBand="0" w:evenVBand="0" w:oddHBand="1" w:evenHBand="0" w:firstRowFirstColumn="0" w:firstRowLastColumn="0" w:lastRowFirstColumn="0" w:lastRowLastColumn="0"/>
            </w:pPr>
            <w:r>
              <w:t>The main products are CO, CO</w:t>
            </w:r>
            <w:r>
              <w:rPr>
                <w:vertAlign w:val="subscript"/>
              </w:rPr>
              <w:t>2</w:t>
            </w:r>
            <w:r>
              <w:t>, H</w:t>
            </w:r>
            <w:r>
              <w:rPr>
                <w:vertAlign w:val="subscript"/>
              </w:rPr>
              <w:t>2</w:t>
            </w:r>
            <w:r>
              <w:t>, CH</w:t>
            </w:r>
            <w:r>
              <w:rPr>
                <w:vertAlign w:val="subscript"/>
              </w:rPr>
              <w:t>4</w:t>
            </w:r>
            <w:r>
              <w:t xml:space="preserve"> and tar (no N</w:t>
            </w:r>
            <w:r>
              <w:rPr>
                <w:vertAlign w:val="subscript"/>
              </w:rPr>
              <w:t>2</w:t>
            </w:r>
            <w:r>
              <w:t>), giving a medium heating value gas of ~10–12 MJ/m</w:t>
            </w:r>
            <w:r>
              <w:rPr>
                <w:vertAlign w:val="superscript"/>
              </w:rPr>
              <w:t>3</w:t>
            </w:r>
            <w:r>
              <w:t>. The cost of providing and using oxygen i</w:t>
            </w:r>
            <w:r>
              <w:t>s compensated by a better quality fuel gas. The trade-off is finely balanced.</w:t>
            </w:r>
          </w:p>
        </w:tc>
      </w:tr>
      <w:tr w:rsidR="006E1BDE" w:rsidTr="006E1BDE">
        <w:trPr>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spacing w:before="40" w:after="40"/>
              <w:jc w:val="center"/>
            </w:pPr>
            <w:r>
              <w:t>Steam (pyrolytic) gasification</w:t>
            </w:r>
          </w:p>
        </w:tc>
        <w:tc>
          <w:tcPr>
            <w:tcW w:w="0" w:type="auto"/>
          </w:tcPr>
          <w:p w:rsidR="006E1BDE" w:rsidRDefault="00244DD3">
            <w:pPr>
              <w:spacing w:before="40" w:after="40"/>
              <w:cnfStyle w:val="000000000000" w:firstRow="0" w:lastRow="0" w:firstColumn="0" w:lastColumn="0" w:oddVBand="0" w:evenVBand="0" w:oddHBand="0" w:evenHBand="0" w:firstRowFirstColumn="0" w:firstRowLastColumn="0" w:lastRowFirstColumn="0" w:lastRowLastColumn="0"/>
            </w:pPr>
            <w:r>
              <w:t>The main products are CO, CO</w:t>
            </w:r>
            <w:r>
              <w:rPr>
                <w:vertAlign w:val="subscript"/>
              </w:rPr>
              <w:t>2</w:t>
            </w:r>
            <w:r>
              <w:t>, H</w:t>
            </w:r>
            <w:r>
              <w:rPr>
                <w:vertAlign w:val="subscript"/>
              </w:rPr>
              <w:t>2</w:t>
            </w:r>
            <w:r>
              <w:t>, CH</w:t>
            </w:r>
            <w:r>
              <w:rPr>
                <w:vertAlign w:val="subscript"/>
              </w:rPr>
              <w:t>4</w:t>
            </w:r>
            <w:r>
              <w:t xml:space="preserve"> and tar giving a medium heating value gas of ~15–20 MJ/m</w:t>
            </w:r>
            <w:r>
              <w:rPr>
                <w:vertAlign w:val="superscript"/>
              </w:rPr>
              <w:t>3</w:t>
            </w:r>
            <w:r>
              <w:t>. There are several reactor configurations that ca</w:t>
            </w:r>
            <w:r>
              <w:t>n yield a synthesis gas with steam gasification.</w:t>
            </w:r>
          </w:p>
        </w:tc>
      </w:tr>
    </w:tbl>
    <w:p w:rsidR="006E1BDE" w:rsidRDefault="00244DD3">
      <w:pPr>
        <w:pStyle w:val="Heading3"/>
        <w:rPr>
          <w:szCs w:val="22"/>
        </w:rPr>
      </w:pPr>
      <w:bookmarkStart w:id="64" w:name="_Toc516598381"/>
      <w:r>
        <w:rPr>
          <w:szCs w:val="22"/>
        </w:rPr>
        <w:t>Gasification</w:t>
      </w:r>
      <w:bookmarkEnd w:id="64"/>
    </w:p>
    <w:p w:rsidR="006E1BDE" w:rsidRDefault="00244DD3">
      <w:pPr>
        <w:pStyle w:val="Caption"/>
        <w:rPr>
          <w:szCs w:val="22"/>
        </w:rPr>
      </w:pPr>
      <w:r>
        <w:rPr>
          <w:szCs w:val="22"/>
        </w:rPr>
        <w:t>Figure 4: Gasification simplified diagram, example for synthetic biofuels such as Fischer-Tropsh, DME etc.). Process flowsheet also shows pyrolysis and torrefaction as biomass fuel pre-treatmen</w:t>
      </w:r>
      <w:r>
        <w:rPr>
          <w:szCs w:val="22"/>
        </w:rPr>
        <w:t>t options.</w:t>
      </w:r>
    </w:p>
    <w:p w:rsidR="006E1BDE" w:rsidRDefault="00244DD3">
      <w:pPr>
        <w:jc w:val="center"/>
        <w:rPr>
          <w:szCs w:val="22"/>
        </w:rPr>
      </w:pPr>
      <w:r>
        <w:rPr>
          <w:noProof/>
          <w:szCs w:val="22"/>
          <w:lang w:eastAsia="en-GB"/>
        </w:rPr>
        <w:drawing>
          <wp:inline distT="0" distB="0" distL="0" distR="0">
            <wp:extent cx="5200650" cy="3114675"/>
            <wp:effectExtent l="0" t="0" r="0" b="9525"/>
            <wp:docPr id="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0650" cy="3114675"/>
                    </a:xfrm>
                    <a:prstGeom prst="rect">
                      <a:avLst/>
                    </a:prstGeom>
                    <a:noFill/>
                    <a:ln>
                      <a:noFill/>
                    </a:ln>
                  </pic:spPr>
                </pic:pic>
              </a:graphicData>
            </a:graphic>
          </wp:inline>
        </w:drawing>
      </w:r>
    </w:p>
    <w:p w:rsidR="006E1BDE" w:rsidRDefault="00244DD3">
      <w:pPr>
        <w:rPr>
          <w:szCs w:val="22"/>
        </w:rPr>
      </w:pPr>
      <w:r>
        <w:rPr>
          <w:szCs w:val="22"/>
        </w:rPr>
        <w:t>The main type of reactor is bubbling and circulating fluidized bed gasifiers, which are versatile type of reactor and can tolerate the feedstock a certain size range. Usually fluidized bed systems can operate with chips or pellets and under certain conditi</w:t>
      </w:r>
      <w:r>
        <w:rPr>
          <w:szCs w:val="22"/>
        </w:rPr>
        <w:t>ons with fluffy feedstock such as solid recovered fuels. They operate normally in the range of 700-900°C. However, the operating temperature is limited by the ash melting temperature of the biomass feedstock, which is caused by low alkali metal eutectics a</w:t>
      </w:r>
      <w:r>
        <w:rPr>
          <w:szCs w:val="22"/>
        </w:rPr>
        <w:t>nd can have severe adverse effects of the fluidized bed (bed agglomeration). Lower operating temperatures results in higher concentration of tars, an undesirable by-product of gasification, and higher concentrations of methane and hydrocarbons.</w:t>
      </w:r>
    </w:p>
    <w:p w:rsidR="006E1BDE" w:rsidRDefault="00244DD3">
      <w:pPr>
        <w:rPr>
          <w:szCs w:val="22"/>
        </w:rPr>
      </w:pPr>
      <w:r>
        <w:rPr>
          <w:szCs w:val="22"/>
        </w:rPr>
        <w:t>Entrained-f</w:t>
      </w:r>
      <w:r>
        <w:rPr>
          <w:szCs w:val="22"/>
        </w:rPr>
        <w:t>low gasifiers operate with fine biomass (size &lt;1mm) at temperatures in the range of 1000-1500°C which is normally above the melting point of the ash of the feedstock and thus low alkali metal eutectics and tars are avoided. Entrained bed gasifiers can easi</w:t>
      </w:r>
      <w:r>
        <w:rPr>
          <w:szCs w:val="22"/>
        </w:rPr>
        <w:t>ly operate with liquids.</w:t>
      </w:r>
    </w:p>
    <w:p w:rsidR="006E1BDE" w:rsidRDefault="00244DD3">
      <w:pPr>
        <w:rPr>
          <w:szCs w:val="22"/>
        </w:rPr>
      </w:pPr>
      <w:r>
        <w:rPr>
          <w:szCs w:val="22"/>
        </w:rPr>
        <w:t xml:space="preserve">Following the gasification step the gas has to be conditioned and remove any impurities such as ash and dust and following this the gas has to be shifted to desired synthesis gas; ratio of CO to H2. Before the synthesis gas is fed </w:t>
      </w:r>
      <w:r>
        <w:rPr>
          <w:szCs w:val="22"/>
        </w:rPr>
        <w:t>to the catalytic reactor it is necessary to also remove any catalyst poisons that may deactivate the catalyst and reduced its life. The gas conditioning is generally speaking an expensive process that involved several unit operations.</w:t>
      </w:r>
    </w:p>
    <w:p w:rsidR="006E1BDE" w:rsidRDefault="00244DD3">
      <w:pPr>
        <w:rPr>
          <w:szCs w:val="22"/>
        </w:rPr>
      </w:pPr>
      <w:r>
        <w:rPr>
          <w:szCs w:val="22"/>
        </w:rPr>
        <w:t>Table 5 shows the var</w:t>
      </w:r>
      <w:r>
        <w:rPr>
          <w:szCs w:val="22"/>
        </w:rPr>
        <w:t>ious advanced biofuels that can be produced by gasification.</w:t>
      </w:r>
    </w:p>
    <w:p w:rsidR="006E1BDE" w:rsidRDefault="00244DD3">
      <w:pPr>
        <w:pStyle w:val="Caption"/>
        <w:rPr>
          <w:szCs w:val="22"/>
        </w:rPr>
      </w:pPr>
      <w:r>
        <w:rPr>
          <w:szCs w:val="22"/>
        </w:rPr>
        <w:t>Table 5: Advanced Biofuels by gasification</w:t>
      </w:r>
    </w:p>
    <w:tbl>
      <w:tblPr>
        <w:tblStyle w:val="GridTable5Dark-Accent11"/>
        <w:tblW w:w="0" w:type="auto"/>
        <w:jc w:val="center"/>
        <w:tblLook w:val="0000" w:firstRow="0" w:lastRow="0" w:firstColumn="0" w:lastColumn="0" w:noHBand="0" w:noVBand="0"/>
      </w:tblPr>
      <w:tblGrid>
        <w:gridCol w:w="1502"/>
        <w:gridCol w:w="6795"/>
      </w:tblGrid>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0" w:type="auto"/>
          </w:tcPr>
          <w:p w:rsidR="006E1BDE" w:rsidRDefault="00244DD3">
            <w:pPr>
              <w:keepNext/>
              <w:keepLines/>
              <w:spacing w:before="60" w:after="80"/>
              <w:jc w:val="center"/>
              <w:rPr>
                <w:b/>
                <w:bCs/>
              </w:rPr>
            </w:pPr>
            <w:r>
              <w:rPr>
                <w:b/>
                <w:bCs/>
              </w:rPr>
              <w:t>Advanced Biofuel</w:t>
            </w:r>
          </w:p>
        </w:tc>
        <w:tc>
          <w:tcPr>
            <w:tcW w:w="0" w:type="auto"/>
            <w:vAlign w:val="center"/>
          </w:tcPr>
          <w:p w:rsidR="006E1BDE" w:rsidRDefault="00244DD3">
            <w:pPr>
              <w:pStyle w:val="Normale"/>
              <w:keepNext/>
              <w:widowControl/>
              <w:spacing w:before="60" w:after="80" w:line="276" w:lineRule="auto"/>
              <w:jc w:val="center"/>
              <w:cnfStyle w:val="000000100000" w:firstRow="0" w:lastRow="0" w:firstColumn="0" w:lastColumn="0" w:oddVBand="0" w:evenVBand="0" w:oddHBand="1" w:evenHBand="0" w:firstRowFirstColumn="0" w:firstRowLastColumn="0" w:lastRowFirstColumn="0" w:lastRowLastColumn="0"/>
              <w:rPr>
                <w:rFonts w:ascii="Candara" w:hAnsi="Candara"/>
                <w:b/>
                <w:bCs/>
                <w:lang w:val="en-GB"/>
              </w:rPr>
            </w:pPr>
            <w:r>
              <w:rPr>
                <w:rFonts w:ascii="Candara" w:hAnsi="Candara"/>
                <w:b/>
                <w:bCs/>
                <w:lang w:val="en-GB"/>
              </w:rPr>
              <w:t>Characteristics</w:t>
            </w:r>
          </w:p>
        </w:tc>
      </w:tr>
      <w:tr w:rsidR="006E1BDE" w:rsidTr="006E1BDE">
        <w:trPr>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keepNext/>
              <w:spacing w:before="40" w:after="40"/>
              <w:jc w:val="center"/>
            </w:pPr>
            <w:r>
              <w:t>Fischer-Tropsch (FT)</w:t>
            </w:r>
          </w:p>
        </w:tc>
        <w:tc>
          <w:tcPr>
            <w:tcW w:w="0" w:type="auto"/>
          </w:tcPr>
          <w:p w:rsidR="006E1BDE" w:rsidRDefault="00244DD3">
            <w:pPr>
              <w:keepNext/>
              <w:spacing w:before="40" w:after="40"/>
              <w:cnfStyle w:val="000000000000" w:firstRow="0" w:lastRow="0" w:firstColumn="0" w:lastColumn="0" w:oddVBand="0" w:evenVBand="0" w:oddHBand="0" w:evenHBand="0" w:firstRowFirstColumn="0" w:firstRowLastColumn="0" w:lastRowFirstColumn="0" w:lastRowLastColumn="0"/>
            </w:pPr>
            <w:r>
              <w:t>The Fischer–Tropsch synthesis produces a broad spectrum of hydrocarbons from but after separation</w:t>
            </w:r>
            <w:r>
              <w:t xml:space="preserve"> the FT can be drop-in fuels either in diesel or kerosene. This process is commercially operated by Sasol in South Africa, where over a million tons per year of coal are processed into a full range of marketable hydrocarbon products. At present there is no</w:t>
            </w:r>
            <w:r>
              <w:t xml:space="preserve"> full large scale demonstration plant in the EU.</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keepNext/>
              <w:spacing w:before="40" w:after="40"/>
              <w:jc w:val="center"/>
            </w:pPr>
            <w:r>
              <w:t>Methanol</w:t>
            </w:r>
          </w:p>
        </w:tc>
        <w:tc>
          <w:tcPr>
            <w:tcW w:w="0" w:type="auto"/>
          </w:tcPr>
          <w:p w:rsidR="006E1BDE" w:rsidRDefault="00244DD3">
            <w:pPr>
              <w:keepNext/>
              <w:spacing w:before="40" w:after="40"/>
              <w:cnfStyle w:val="000000100000" w:firstRow="0" w:lastRow="0" w:firstColumn="0" w:lastColumn="0" w:oddVBand="0" w:evenVBand="0" w:oddHBand="1" w:evenHBand="0" w:firstRowFirstColumn="0" w:firstRowLastColumn="0" w:lastRowFirstColumn="0" w:lastRowLastColumn="0"/>
            </w:pPr>
            <w:r>
              <w:t xml:space="preserve">Methanol synthesis is commercially available and the major processes are available from various technology providers. The synthesis is followed by a distillation section where the water by-product </w:t>
            </w:r>
            <w:r>
              <w:t>is separated and the pure methanol is obtained.</w:t>
            </w:r>
          </w:p>
        </w:tc>
      </w:tr>
      <w:tr w:rsidR="006E1BDE" w:rsidTr="006E1BDE">
        <w:trPr>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spacing w:before="40" w:after="40"/>
              <w:jc w:val="center"/>
            </w:pPr>
            <w:r>
              <w:t>Dimethyl Ether (DME)</w:t>
            </w:r>
          </w:p>
          <w:p w:rsidR="006E1BDE" w:rsidRDefault="006E1BDE">
            <w:pPr>
              <w:spacing w:before="40" w:after="40"/>
              <w:jc w:val="center"/>
            </w:pPr>
          </w:p>
          <w:p w:rsidR="006E1BDE" w:rsidRDefault="006E1BDE">
            <w:pPr>
              <w:spacing w:before="40" w:after="40"/>
              <w:jc w:val="center"/>
            </w:pPr>
          </w:p>
          <w:p w:rsidR="006E1BDE" w:rsidRDefault="006E1BDE">
            <w:pPr>
              <w:spacing w:before="40" w:after="40"/>
              <w:jc w:val="center"/>
            </w:pPr>
          </w:p>
          <w:p w:rsidR="006E1BDE" w:rsidRDefault="006E1BDE">
            <w:pPr>
              <w:spacing w:before="40" w:after="40"/>
              <w:jc w:val="center"/>
            </w:pPr>
          </w:p>
        </w:tc>
        <w:tc>
          <w:tcPr>
            <w:tcW w:w="0" w:type="auto"/>
          </w:tcPr>
          <w:p w:rsidR="006E1BDE" w:rsidRDefault="00244DD3">
            <w:pPr>
              <w:spacing w:before="40" w:after="40"/>
              <w:cnfStyle w:val="000000000000" w:firstRow="0" w:lastRow="0" w:firstColumn="0" w:lastColumn="0" w:oddVBand="0" w:evenVBand="0" w:oddHBand="0" w:evenHBand="0" w:firstRowFirstColumn="0" w:firstRowLastColumn="0" w:lastRowFirstColumn="0" w:lastRowLastColumn="0"/>
            </w:pPr>
            <w:r>
              <w:t xml:space="preserve">DME is formed by methanol dehydration in the presence of a different catalyst (e.g. silica-alumina). The reaction is slightly exothermic. DME is stored in the liquid state at 0.5MPa </w:t>
            </w:r>
            <w:r>
              <w:t>pressure and ambient temperature, like Liquefied Petroleum Gas (LPG)</w:t>
            </w:r>
            <w:r>
              <w:rPr>
                <w:rStyle w:val="FootnoteReference"/>
              </w:rPr>
              <w:footnoteReference w:id="118"/>
            </w:r>
            <w:r>
              <w:t xml:space="preserve">. DME can also be produced through direct synthesis using a dual-catalyst system which permits both methanol synthesis and dehydration in the same process unit, with no intermediate methanol separation. </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0010000000" w:firstRow="0" w:lastRow="0" w:firstColumn="0" w:lastColumn="0" w:oddVBand="1" w:evenVBand="0" w:oddHBand="0" w:evenHBand="0" w:firstRowFirstColumn="0" w:firstRowLastColumn="0" w:lastRowFirstColumn="0" w:lastRowLastColumn="0"/>
            <w:tcW w:w="0" w:type="auto"/>
            <w:vAlign w:val="center"/>
          </w:tcPr>
          <w:p w:rsidR="006E1BDE" w:rsidRDefault="00244DD3">
            <w:pPr>
              <w:spacing w:before="40" w:after="40"/>
              <w:jc w:val="center"/>
            </w:pPr>
            <w:r>
              <w:t>Biomethane</w:t>
            </w:r>
          </w:p>
        </w:tc>
        <w:tc>
          <w:tcPr>
            <w:tcW w:w="0" w:type="auto"/>
          </w:tcPr>
          <w:p w:rsidR="006E1BDE" w:rsidRDefault="00244DD3">
            <w:pPr>
              <w:spacing w:before="40" w:after="40"/>
              <w:cnfStyle w:val="000000100000" w:firstRow="0" w:lastRow="0" w:firstColumn="0" w:lastColumn="0" w:oddVBand="0" w:evenVBand="0" w:oddHBand="1" w:evenHBand="0" w:firstRowFirstColumn="0" w:firstRowLastColumn="0" w:lastRowFirstColumn="0" w:lastRowLastColumn="0"/>
            </w:pPr>
            <w:r>
              <w:t xml:space="preserve">In the methanation step carbon monoxide </w:t>
            </w:r>
            <w:r>
              <w:t>reacts with hydrogen forming methane and water. The biomethane can either be injected in a natural gas pipeline or used directly to fuel captive fleets.</w:t>
            </w:r>
          </w:p>
        </w:tc>
      </w:tr>
    </w:tbl>
    <w:p w:rsidR="006E1BDE" w:rsidRDefault="00244DD3">
      <w:pPr>
        <w:pStyle w:val="Heading3"/>
        <w:rPr>
          <w:szCs w:val="22"/>
        </w:rPr>
      </w:pPr>
      <w:bookmarkStart w:id="65" w:name="_Toc516598382"/>
      <w:r>
        <w:rPr>
          <w:szCs w:val="22"/>
        </w:rPr>
        <w:t>Gasification in the EU</w:t>
      </w:r>
      <w:bookmarkEnd w:id="65"/>
    </w:p>
    <w:p w:rsidR="006E1BDE" w:rsidRDefault="00244DD3">
      <w:pPr>
        <w:rPr>
          <w:lang w:eastAsia="sv-SE"/>
        </w:rPr>
      </w:pPr>
      <w:r>
        <w:rPr>
          <w:lang w:eastAsia="sv-SE"/>
        </w:rPr>
        <w:t>Gasification has a long history in the EU and several technology developers have been trying to develop gasification platforms from the very small systems to the large scale commercial plants. The success has been limited in the small capacity based on dow</w:t>
      </w:r>
      <w:r>
        <w:rPr>
          <w:lang w:eastAsia="sv-SE"/>
        </w:rPr>
        <w:t>ndraft gasifiers destined for power and heat applications while better achievements have been attained in the large scale. European technology developers have gained significant experience from running large scale demonstration facilities however the marke</w:t>
      </w:r>
      <w:r>
        <w:rPr>
          <w:lang w:eastAsia="sv-SE"/>
        </w:rPr>
        <w:t>t and policy conditions have been a barrier to the further deployment of gasification technologies for advanced biofuels. Although at present there are no large scale commercial facilities operating on gasification for advanced biofuels few projects are in</w:t>
      </w:r>
      <w:r>
        <w:rPr>
          <w:lang w:eastAsia="sv-SE"/>
        </w:rPr>
        <w:t xml:space="preserve"> the planning phase and it </w:t>
      </w:r>
      <w:r>
        <w:t>is</w:t>
      </w:r>
      <w:r>
        <w:rPr>
          <w:lang w:eastAsia="sv-SE"/>
        </w:rPr>
        <w:t xml:space="preserve"> expected that their construction could start soon after the RED II has been adopted and the various Members States of the EU have enacted appropriate legislation in their national legislation.</w:t>
      </w:r>
    </w:p>
    <w:p w:rsidR="006E1BDE" w:rsidRDefault="00244DD3">
      <w:r>
        <w:t>Table 6 shows the technology deve</w:t>
      </w:r>
      <w:r>
        <w:t>lopers for advanced biofuels via gasification in the EU.</w:t>
      </w:r>
    </w:p>
    <w:p w:rsidR="006E1BDE" w:rsidRDefault="00244DD3">
      <w:pPr>
        <w:pStyle w:val="Caption"/>
        <w:rPr>
          <w:szCs w:val="22"/>
        </w:rPr>
      </w:pPr>
      <w:r>
        <w:rPr>
          <w:szCs w:val="22"/>
        </w:rPr>
        <w:t>Table 6: Gasification plants in the EU</w:t>
      </w:r>
    </w:p>
    <w:tbl>
      <w:tblPr>
        <w:tblStyle w:val="GridTable5Dark-Accent11"/>
        <w:tblW w:w="0" w:type="auto"/>
        <w:jc w:val="center"/>
        <w:tblLook w:val="04A0" w:firstRow="1" w:lastRow="0" w:firstColumn="1" w:lastColumn="0" w:noHBand="0" w:noVBand="1"/>
      </w:tblPr>
      <w:tblGrid>
        <w:gridCol w:w="421"/>
        <w:gridCol w:w="2072"/>
        <w:gridCol w:w="2357"/>
        <w:gridCol w:w="1510"/>
        <w:gridCol w:w="1367"/>
        <w:gridCol w:w="570"/>
      </w:tblGrid>
      <w:tr w:rsidR="006E1BDE" w:rsidTr="006E1B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Technology Developer/Plant</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Production Capacity</w:t>
            </w:r>
          </w:p>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tones/yr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TRL</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GoBiGas plant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Gothenburg, Sweden</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20MW</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 xml:space="preserve">BioTfueL </w:t>
            </w:r>
            <w:r>
              <w:t>pilot plant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France</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N/A</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2018?</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8</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Gogreengas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Swindon, UK</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0.050MW</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2018?</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7</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4</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The Chemrec plant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Pitea, Sweden</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4 tones DME/d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2014</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7</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The Bioliq pilot plant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Karlsruhe Institute of Technology, Germany</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0.2 tones/h</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2014</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6</w:t>
            </w:r>
          </w:p>
        </w:tc>
      </w:tr>
    </w:tbl>
    <w:p w:rsidR="006E1BDE" w:rsidRDefault="00244DD3">
      <w:pPr>
        <w:rPr>
          <w:szCs w:val="22"/>
        </w:rPr>
      </w:pPr>
      <w:r>
        <w:rPr>
          <w:szCs w:val="22"/>
        </w:rPr>
        <w:t xml:space="preserve">Note: 2018?: Expected to start </w:t>
      </w:r>
      <w:r>
        <w:rPr>
          <w:szCs w:val="22"/>
        </w:rPr>
        <w:t>operation in 2018</w:t>
      </w:r>
    </w:p>
    <w:p w:rsidR="006E1BDE" w:rsidRDefault="00244DD3">
      <w:pPr>
        <w:rPr>
          <w:szCs w:val="22"/>
        </w:rPr>
      </w:pPr>
      <w:r>
        <w:rPr>
          <w:b/>
          <w:szCs w:val="22"/>
        </w:rPr>
        <w:t>The GoBiGas plant</w:t>
      </w:r>
      <w:r>
        <w:rPr>
          <w:rStyle w:val="FootnoteReference"/>
          <w:szCs w:val="22"/>
        </w:rPr>
        <w:footnoteReference w:id="119"/>
      </w:r>
      <w:r>
        <w:rPr>
          <w:szCs w:val="22"/>
        </w:rPr>
        <w:t xml:space="preserve"> is a four times scale up from the original plant in Güssing</w:t>
      </w:r>
      <w:r>
        <w:rPr>
          <w:rStyle w:val="FootnoteReference"/>
          <w:szCs w:val="22"/>
        </w:rPr>
        <w:footnoteReference w:id="120"/>
      </w:r>
      <w:r>
        <w:rPr>
          <w:szCs w:val="22"/>
        </w:rPr>
        <w:t>, Austria which was a Combined Heat and Power gasification plant. The construction was done by Valmet</w:t>
      </w:r>
      <w:r>
        <w:rPr>
          <w:rStyle w:val="FootnoteReference"/>
          <w:szCs w:val="22"/>
        </w:rPr>
        <w:footnoteReference w:id="121"/>
      </w:r>
      <w:r>
        <w:rPr>
          <w:szCs w:val="22"/>
        </w:rPr>
        <w:t xml:space="preserve"> under a license from Repotec (the owner of the license o</w:t>
      </w:r>
      <w:r>
        <w:rPr>
          <w:szCs w:val="22"/>
        </w:rPr>
        <w:t>f the Güssing plant technology). The GoBiGas plant furthermore includes tar removal via scrubbing and active carbon filters. Water gas shift and methanation units have been provided by Haldor Topsöe. The plant also includes acid gas removal technology. The</w:t>
      </w:r>
      <w:r>
        <w:rPr>
          <w:szCs w:val="22"/>
        </w:rPr>
        <w:t xml:space="preserve"> plant has been operating both with pellets and forest biomass generating biomethane.</w:t>
      </w:r>
    </w:p>
    <w:p w:rsidR="006E1BDE" w:rsidRDefault="00244DD3">
      <w:pPr>
        <w:pStyle w:val="Caption"/>
        <w:rPr>
          <w:szCs w:val="22"/>
        </w:rPr>
      </w:pPr>
      <w:r>
        <w:rPr>
          <w:szCs w:val="22"/>
        </w:rPr>
        <w:t>Figure 5: The GoBiGas plant in Gothenburg, Sweden</w:t>
      </w:r>
    </w:p>
    <w:p w:rsidR="006E1BDE" w:rsidRDefault="00244DD3">
      <w:pPr>
        <w:jc w:val="center"/>
        <w:rPr>
          <w:szCs w:val="22"/>
        </w:rPr>
      </w:pPr>
      <w:r>
        <w:rPr>
          <w:noProof/>
          <w:szCs w:val="22"/>
          <w:lang w:eastAsia="en-GB"/>
        </w:rPr>
        <w:drawing>
          <wp:inline distT="0" distB="0" distL="0" distR="0">
            <wp:extent cx="3826223" cy="2533650"/>
            <wp:effectExtent l="0" t="0" r="317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28143" cy="2534922"/>
                    </a:xfrm>
                    <a:prstGeom prst="rect">
                      <a:avLst/>
                    </a:prstGeom>
                    <a:noFill/>
                    <a:ln>
                      <a:noFill/>
                    </a:ln>
                  </pic:spPr>
                </pic:pic>
              </a:graphicData>
            </a:graphic>
          </wp:inline>
        </w:drawing>
      </w:r>
    </w:p>
    <w:p w:rsidR="006E1BDE" w:rsidRDefault="00244DD3">
      <w:pPr>
        <w:rPr>
          <w:szCs w:val="22"/>
        </w:rPr>
      </w:pPr>
      <w:r>
        <w:rPr>
          <w:b/>
          <w:szCs w:val="22"/>
        </w:rPr>
        <w:t>The BioTfuel</w:t>
      </w:r>
      <w:r>
        <w:rPr>
          <w:rStyle w:val="FootnoteReference"/>
          <w:szCs w:val="22"/>
        </w:rPr>
        <w:footnoteReference w:id="122"/>
      </w:r>
      <w:r>
        <w:rPr>
          <w:szCs w:val="22"/>
        </w:rPr>
        <w:t xml:space="preserve"> plant in Dunkirk will be using torrefied wood (partially pyrolysed to produce a feedstock of better and </w:t>
      </w:r>
      <w:r>
        <w:rPr>
          <w:szCs w:val="22"/>
        </w:rPr>
        <w:t>more consistent quality that biomass) in a ThyssenKrupp</w:t>
      </w:r>
      <w:r>
        <w:rPr>
          <w:rStyle w:val="FootnoteReference"/>
          <w:szCs w:val="22"/>
        </w:rPr>
        <w:footnoteReference w:id="123"/>
      </w:r>
      <w:r>
        <w:rPr>
          <w:szCs w:val="22"/>
        </w:rPr>
        <w:t xml:space="preserve"> PRENFLO gasifier. The gasifier operates with Pressurized Direct Quench. The conversion process for the synthesis gas is provided by AXENS</w:t>
      </w:r>
      <w:r>
        <w:rPr>
          <w:rStyle w:val="FootnoteReference"/>
          <w:szCs w:val="22"/>
        </w:rPr>
        <w:footnoteReference w:id="124"/>
      </w:r>
      <w:r>
        <w:rPr>
          <w:szCs w:val="22"/>
        </w:rPr>
        <w:t xml:space="preserve">. The project aims to produce bio-kerosene and diesel fuels. </w:t>
      </w:r>
      <w:r>
        <w:rPr>
          <w:szCs w:val="22"/>
        </w:rPr>
        <w:t>The aim is to use biomass as well as biomass/petroleum coke and biomass/coal mixtures to be fully independent of potential seasonal feedstock restrictions and/or customer economical feedstock needs. However, the plant will depend on the supply of torrefied</w:t>
      </w:r>
      <w:r>
        <w:rPr>
          <w:szCs w:val="22"/>
        </w:rPr>
        <w:t xml:space="preserve"> wood from another plant under construction in another location (Venette). The plant is undergoing testing.</w:t>
      </w:r>
    </w:p>
    <w:p w:rsidR="006E1BDE" w:rsidRDefault="00244DD3">
      <w:pPr>
        <w:pStyle w:val="Caption"/>
        <w:rPr>
          <w:szCs w:val="22"/>
        </w:rPr>
      </w:pPr>
      <w:r>
        <w:rPr>
          <w:szCs w:val="22"/>
        </w:rPr>
        <w:t>Figure 6: BioTfueL pilot plant (main unit) in Dunkirk</w:t>
      </w:r>
    </w:p>
    <w:p w:rsidR="006E1BDE" w:rsidRDefault="00244DD3">
      <w:pPr>
        <w:jc w:val="center"/>
        <w:rPr>
          <w:szCs w:val="22"/>
        </w:rPr>
      </w:pPr>
      <w:r>
        <w:rPr>
          <w:noProof/>
          <w:szCs w:val="22"/>
          <w:lang w:eastAsia="en-GB"/>
        </w:rPr>
        <w:drawing>
          <wp:inline distT="0" distB="0" distL="0" distR="0">
            <wp:extent cx="3541828" cy="2352675"/>
            <wp:effectExtent l="0" t="0" r="190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7310" cy="2356316"/>
                    </a:xfrm>
                    <a:prstGeom prst="rect">
                      <a:avLst/>
                    </a:prstGeom>
                    <a:noFill/>
                    <a:ln>
                      <a:noFill/>
                    </a:ln>
                  </pic:spPr>
                </pic:pic>
              </a:graphicData>
            </a:graphic>
          </wp:inline>
        </w:drawing>
      </w:r>
    </w:p>
    <w:p w:rsidR="006E1BDE" w:rsidRDefault="00244DD3">
      <w:pPr>
        <w:rPr>
          <w:szCs w:val="22"/>
        </w:rPr>
      </w:pPr>
      <w:r>
        <w:rPr>
          <w:b/>
          <w:szCs w:val="22"/>
        </w:rPr>
        <w:t>The Gogreengas</w:t>
      </w:r>
      <w:r>
        <w:rPr>
          <w:rStyle w:val="FootnoteReference"/>
          <w:szCs w:val="22"/>
        </w:rPr>
        <w:footnoteReference w:id="125"/>
      </w:r>
      <w:r>
        <w:rPr>
          <w:szCs w:val="22"/>
        </w:rPr>
        <w:t xml:space="preserve"> pilot plant is a development facility for proving and optimizing the process</w:t>
      </w:r>
      <w:r>
        <w:rPr>
          <w:szCs w:val="22"/>
        </w:rPr>
        <w:t xml:space="preserve"> for manufacturing biomethane from Refuse Derived Fuel (RDF) and biomass feedstocks. The project is a partnership between National Grid Gas Distribution</w:t>
      </w:r>
      <w:r>
        <w:rPr>
          <w:rStyle w:val="FootnoteReference"/>
          <w:szCs w:val="22"/>
        </w:rPr>
        <w:footnoteReference w:id="126"/>
      </w:r>
      <w:r>
        <w:rPr>
          <w:szCs w:val="22"/>
        </w:rPr>
        <w:t>, Advanced Plasma Power</w:t>
      </w:r>
      <w:r>
        <w:rPr>
          <w:rStyle w:val="FootnoteReference"/>
          <w:szCs w:val="22"/>
        </w:rPr>
        <w:footnoteReference w:id="127"/>
      </w:r>
      <w:r>
        <w:rPr>
          <w:szCs w:val="22"/>
        </w:rPr>
        <w:t>, Progressive Energy</w:t>
      </w:r>
      <w:r>
        <w:rPr>
          <w:rStyle w:val="FootnoteReference"/>
          <w:szCs w:val="22"/>
        </w:rPr>
        <w:footnoteReference w:id="128"/>
      </w:r>
      <w:r>
        <w:rPr>
          <w:szCs w:val="22"/>
        </w:rPr>
        <w:t xml:space="preserve"> and Carbotech</w:t>
      </w:r>
      <w:r>
        <w:rPr>
          <w:rStyle w:val="FootnoteReference"/>
          <w:szCs w:val="22"/>
        </w:rPr>
        <w:footnoteReference w:id="129"/>
      </w:r>
      <w:r>
        <w:rPr>
          <w:szCs w:val="22"/>
        </w:rPr>
        <w:t>. The aim is to ensure that the gas grid co</w:t>
      </w:r>
      <w:r>
        <w:rPr>
          <w:szCs w:val="22"/>
        </w:rPr>
        <w:t>uld be supplied with biomethane gas from biomass resources.</w:t>
      </w:r>
    </w:p>
    <w:p w:rsidR="006E1BDE" w:rsidRDefault="00244DD3">
      <w:pPr>
        <w:rPr>
          <w:szCs w:val="22"/>
        </w:rPr>
      </w:pPr>
      <w:r>
        <w:rPr>
          <w:szCs w:val="22"/>
        </w:rPr>
        <w:t>Dried RDF and other feedstocks are converted to syngas in a two stage gasification process using a gas plasma technology (fluidized bed gasifier at atmospheric pressure designed by close-coupled w</w:t>
      </w:r>
      <w:r>
        <w:rPr>
          <w:szCs w:val="22"/>
        </w:rPr>
        <w:t>ith a plasma converter). The BioSNG pilot and commercial plants in Swindon use oxy-steam fluidised bed gasification and a plasma converter to remove tars and vitrify ash and heavy metals. Wet scrubbing systems are used for bulk removal of acid and alkaline</w:t>
      </w:r>
      <w:r>
        <w:rPr>
          <w:szCs w:val="22"/>
        </w:rPr>
        <w:t xml:space="preserve"> contaminants and a series of guard beds are used for final polishing. A sweet water gas shift is followed by a series of methanation reactors. In the pilot plant a pressure swing adsorption system is used to remove carbon dioxide, but in the commercial fa</w:t>
      </w:r>
      <w:r>
        <w:rPr>
          <w:szCs w:val="22"/>
        </w:rPr>
        <w:t>cility a chemical scrubbing system will be used.</w:t>
      </w:r>
    </w:p>
    <w:p w:rsidR="006E1BDE" w:rsidRDefault="00244DD3">
      <w:pPr>
        <w:pStyle w:val="Caption"/>
        <w:rPr>
          <w:szCs w:val="22"/>
        </w:rPr>
      </w:pPr>
      <w:r>
        <w:rPr>
          <w:szCs w:val="22"/>
        </w:rPr>
        <w:t>Figure 7: The “Gogreengas” demonstration plant, Swindon, UK</w:t>
      </w:r>
    </w:p>
    <w:p w:rsidR="006E1BDE" w:rsidRDefault="00244DD3">
      <w:pPr>
        <w:jc w:val="center"/>
        <w:rPr>
          <w:szCs w:val="22"/>
        </w:rPr>
      </w:pPr>
      <w:r>
        <w:rPr>
          <w:noProof/>
          <w:szCs w:val="22"/>
          <w:lang w:eastAsia="en-GB"/>
        </w:rPr>
        <w:drawing>
          <wp:inline distT="0" distB="0" distL="0" distR="0">
            <wp:extent cx="3352800" cy="2489645"/>
            <wp:effectExtent l="0" t="0" r="0"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6192" cy="2492163"/>
                    </a:xfrm>
                    <a:prstGeom prst="rect">
                      <a:avLst/>
                    </a:prstGeom>
                    <a:noFill/>
                    <a:ln>
                      <a:noFill/>
                    </a:ln>
                  </pic:spPr>
                </pic:pic>
              </a:graphicData>
            </a:graphic>
          </wp:inline>
        </w:drawing>
      </w:r>
    </w:p>
    <w:p w:rsidR="006E1BDE" w:rsidRDefault="00244DD3">
      <w:pPr>
        <w:rPr>
          <w:b/>
          <w:szCs w:val="22"/>
        </w:rPr>
      </w:pPr>
      <w:r>
        <w:rPr>
          <w:b/>
          <w:szCs w:val="22"/>
        </w:rPr>
        <w:t>The CHEMREC gasification plant</w:t>
      </w:r>
      <w:r>
        <w:rPr>
          <w:szCs w:val="22"/>
        </w:rPr>
        <w:t xml:space="preserve"> </w:t>
      </w:r>
      <w:r>
        <w:rPr>
          <w:rStyle w:val="FootnoteReference"/>
          <w:szCs w:val="22"/>
        </w:rPr>
        <w:footnoteReference w:id="130"/>
      </w:r>
      <w:r>
        <w:rPr>
          <w:szCs w:val="22"/>
        </w:rPr>
        <w:t xml:space="preserve"> was developed with the black liquor as feedstock for DME synthesis. The synthesis gas conversion to methanol and</w:t>
      </w:r>
      <w:r>
        <w:rPr>
          <w:szCs w:val="22"/>
        </w:rPr>
        <w:t xml:space="preserve"> DME is carried out by HaldorTopsoe</w:t>
      </w:r>
      <w:r>
        <w:rPr>
          <w:rStyle w:val="FootnoteReference"/>
          <w:szCs w:val="22"/>
        </w:rPr>
        <w:footnoteReference w:id="131"/>
      </w:r>
      <w:r>
        <w:rPr>
          <w:szCs w:val="22"/>
        </w:rPr>
        <w:t>, a major catalyst technology provider. Today the plant is owned and operation by Lulea Technical University</w:t>
      </w:r>
      <w:r>
        <w:rPr>
          <w:rStyle w:val="FootnoteReference"/>
          <w:szCs w:val="22"/>
        </w:rPr>
        <w:footnoteReference w:id="132"/>
      </w:r>
      <w:r>
        <w:rPr>
          <w:szCs w:val="22"/>
        </w:rPr>
        <w:t xml:space="preserve">. The gasification plant was started in September 2005 and the Bio-DME unit in November 2011. The feedstock is </w:t>
      </w:r>
      <w:r>
        <w:rPr>
          <w:szCs w:val="22"/>
        </w:rPr>
        <w:t>sulphate (Kraft) black liquor (a by-product of the paper industry) from the neighbouring sulphate mill but also sulphite liquor has also been successfully tested. This plant is also operated in periods of 2-3 weeks. The CHEMREC plant was supported by the E</w:t>
      </w:r>
      <w:r>
        <w:rPr>
          <w:szCs w:val="22"/>
        </w:rPr>
        <w:t>uropean Union’s FP7 program for innovation under the project BIO DME, see Table 18 in Section 8.2.1.</w:t>
      </w:r>
    </w:p>
    <w:p w:rsidR="006E1BDE" w:rsidRDefault="00244DD3">
      <w:pPr>
        <w:pStyle w:val="Caption"/>
        <w:rPr>
          <w:szCs w:val="22"/>
        </w:rPr>
      </w:pPr>
      <w:r>
        <w:rPr>
          <w:szCs w:val="22"/>
        </w:rPr>
        <w:t>Figure 8: The Chemrec/Lulea Technical University BioDME plant in Pitea</w:t>
      </w:r>
    </w:p>
    <w:p w:rsidR="006E1BDE" w:rsidRDefault="00244DD3">
      <w:pPr>
        <w:jc w:val="center"/>
        <w:rPr>
          <w:szCs w:val="22"/>
        </w:rPr>
      </w:pPr>
      <w:r>
        <w:rPr>
          <w:noProof/>
          <w:szCs w:val="22"/>
          <w:lang w:eastAsia="en-GB"/>
        </w:rPr>
        <w:drawing>
          <wp:inline distT="0" distB="0" distL="0" distR="0">
            <wp:extent cx="3362325" cy="233959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363128" cy="2340149"/>
                    </a:xfrm>
                    <a:prstGeom prst="rect">
                      <a:avLst/>
                    </a:prstGeom>
                    <a:noFill/>
                    <a:ln>
                      <a:noFill/>
                    </a:ln>
                  </pic:spPr>
                </pic:pic>
              </a:graphicData>
            </a:graphic>
          </wp:inline>
        </w:drawing>
      </w:r>
    </w:p>
    <w:p w:rsidR="006E1BDE" w:rsidRDefault="00244DD3">
      <w:pPr>
        <w:rPr>
          <w:szCs w:val="22"/>
        </w:rPr>
      </w:pPr>
      <w:r>
        <w:rPr>
          <w:szCs w:val="22"/>
        </w:rPr>
        <w:t>The Karlsruhe Institute of Technology</w:t>
      </w:r>
      <w:r>
        <w:rPr>
          <w:rStyle w:val="FootnoteReference"/>
          <w:szCs w:val="22"/>
        </w:rPr>
        <w:footnoteReference w:id="133"/>
      </w:r>
      <w:r>
        <w:rPr>
          <w:szCs w:val="22"/>
        </w:rPr>
        <w:t xml:space="preserve"> (KIT) built </w:t>
      </w:r>
      <w:r>
        <w:rPr>
          <w:b/>
          <w:szCs w:val="22"/>
        </w:rPr>
        <w:t>the Bioliq</w:t>
      </w:r>
      <w:r>
        <w:rPr>
          <w:rStyle w:val="FootnoteReference"/>
          <w:b/>
          <w:szCs w:val="22"/>
        </w:rPr>
        <w:footnoteReference w:id="134"/>
      </w:r>
      <w:r>
        <w:rPr>
          <w:b/>
          <w:szCs w:val="22"/>
        </w:rPr>
        <w:t xml:space="preserve"> plant</w:t>
      </w:r>
      <w:r>
        <w:rPr>
          <w:szCs w:val="22"/>
        </w:rPr>
        <w:t xml:space="preserve"> and it has be</w:t>
      </w:r>
      <w:r>
        <w:rPr>
          <w:szCs w:val="22"/>
        </w:rPr>
        <w:t>en in full operation since 2014. The plant consists of a Lurgi/Ruhrgas</w:t>
      </w:r>
      <w:r>
        <w:rPr>
          <w:rStyle w:val="FootnoteReference"/>
          <w:szCs w:val="22"/>
        </w:rPr>
        <w:footnoteReference w:id="135"/>
      </w:r>
      <w:r>
        <w:rPr>
          <w:szCs w:val="22"/>
        </w:rPr>
        <w:t>, fast pyrolysis reactor for the production of slurry from lignocellulosic biomass. The pyrolysis char and bio-oil produced from biomass are mixed to produce a slurry “Biosyncrude”. The</w:t>
      </w:r>
      <w:r>
        <w:rPr>
          <w:szCs w:val="22"/>
        </w:rPr>
        <w:t xml:space="preserve"> Biosyncrude is then gasified in an entrained bed flow gasifier to produce synthesis gas. The synthesis gas is converted to gasoline via a direct DME synthesis route. Since this is a small scale demonstration plant the plant is operated in 2 to 3 week peri</w:t>
      </w:r>
      <w:r>
        <w:rPr>
          <w:szCs w:val="22"/>
        </w:rPr>
        <w:t>ods.</w:t>
      </w:r>
    </w:p>
    <w:p w:rsidR="006E1BDE" w:rsidRDefault="00244DD3">
      <w:pPr>
        <w:pStyle w:val="Caption"/>
        <w:rPr>
          <w:szCs w:val="22"/>
        </w:rPr>
      </w:pPr>
      <w:r>
        <w:rPr>
          <w:szCs w:val="22"/>
        </w:rPr>
        <w:t>Figure 9: The Karlsruhe Institute of Technology Bioliq plant</w:t>
      </w:r>
    </w:p>
    <w:p w:rsidR="006E1BDE" w:rsidRDefault="00244DD3">
      <w:pPr>
        <w:jc w:val="center"/>
        <w:rPr>
          <w:szCs w:val="22"/>
        </w:rPr>
      </w:pPr>
      <w:r>
        <w:rPr>
          <w:noProof/>
          <w:szCs w:val="22"/>
          <w:lang w:eastAsia="en-GB"/>
        </w:rPr>
        <w:drawing>
          <wp:inline distT="0" distB="0" distL="0" distR="0">
            <wp:extent cx="4045258" cy="208094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47055" cy="2081868"/>
                    </a:xfrm>
                    <a:prstGeom prst="rect">
                      <a:avLst/>
                    </a:prstGeom>
                    <a:noFill/>
                    <a:ln>
                      <a:noFill/>
                    </a:ln>
                  </pic:spPr>
                </pic:pic>
              </a:graphicData>
            </a:graphic>
          </wp:inline>
        </w:drawing>
      </w:r>
    </w:p>
    <w:p w:rsidR="006E1BDE" w:rsidRDefault="00244DD3">
      <w:pPr>
        <w:pStyle w:val="Heading3"/>
        <w:rPr>
          <w:szCs w:val="22"/>
        </w:rPr>
      </w:pPr>
      <w:bookmarkStart w:id="66" w:name="_Toc516598383"/>
      <w:r>
        <w:rPr>
          <w:szCs w:val="22"/>
        </w:rPr>
        <w:t>Gasification in India</w:t>
      </w:r>
      <w:bookmarkEnd w:id="66"/>
    </w:p>
    <w:p w:rsidR="006E1BDE" w:rsidRDefault="00244DD3">
      <w:pPr>
        <w:numPr>
          <w:ilvl w:val="0"/>
          <w:numId w:val="0"/>
        </w:numPr>
        <w:rPr>
          <w:szCs w:val="22"/>
        </w:rPr>
      </w:pPr>
      <w:r>
        <w:rPr>
          <w:szCs w:val="22"/>
        </w:rPr>
        <w:t>While there are no gasification plants in India for the production of advanced biofuels, there is a significant degree of work on gasification for power and heat gene</w:t>
      </w:r>
      <w:r>
        <w:rPr>
          <w:szCs w:val="22"/>
        </w:rPr>
        <w:t>ration in India. This is, however, beyond the scope of the present study.</w:t>
      </w:r>
    </w:p>
    <w:p w:rsidR="006E1BDE" w:rsidRDefault="00244DD3">
      <w:pPr>
        <w:pStyle w:val="Heading3"/>
        <w:rPr>
          <w:szCs w:val="22"/>
        </w:rPr>
      </w:pPr>
      <w:bookmarkStart w:id="67" w:name="_Toc516598384"/>
      <w:r>
        <w:rPr>
          <w:szCs w:val="22"/>
        </w:rPr>
        <w:t>Fast pyrolysis</w:t>
      </w:r>
      <w:bookmarkEnd w:id="67"/>
    </w:p>
    <w:p w:rsidR="006E1BDE" w:rsidRDefault="00244DD3">
      <w:pPr>
        <w:rPr>
          <w:szCs w:val="22"/>
        </w:rPr>
      </w:pPr>
      <w:r>
        <w:rPr>
          <w:szCs w:val="22"/>
        </w:rPr>
        <w:t xml:space="preserve">Fast pyrolysis has also progressed well and offers the benefits of a liquid fuel with concomitant advantages of easy storage and transport as well as comparable power </w:t>
      </w:r>
      <w:r>
        <w:rPr>
          <w:szCs w:val="22"/>
        </w:rPr>
        <w:t>generation efficiencies at the smaller scales of operation that are likely to be realised from bio-energy systems as compared with fossil fuelled systems. However, the upgrading of pyrolysis oils to biofuels is considered very expensive (due to the removal</w:t>
      </w:r>
      <w:r>
        <w:rPr>
          <w:szCs w:val="22"/>
        </w:rPr>
        <w:t xml:space="preserve"> of oxygen) and at present the technology developers are moving towards co-processing pyrolysis oils in petroleum refineries. Figure 10 shows a generalised process flow diagram for biomass pyrolysis.</w:t>
      </w:r>
    </w:p>
    <w:p w:rsidR="006E1BDE" w:rsidRDefault="00244DD3">
      <w:pPr>
        <w:pStyle w:val="Caption"/>
        <w:rPr>
          <w:szCs w:val="22"/>
        </w:rPr>
      </w:pPr>
      <w:r>
        <w:rPr>
          <w:szCs w:val="22"/>
        </w:rPr>
        <w:t>Figure 10: Simplified process flow diagram for pyrolysis</w:t>
      </w:r>
      <w:r>
        <w:rPr>
          <w:szCs w:val="22"/>
        </w:rPr>
        <w:t>. Process flowsheet also shows upgrading to hydrocarbon fuels or co-processing in a refinery.</w:t>
      </w:r>
    </w:p>
    <w:p w:rsidR="006E1BDE" w:rsidRDefault="00244DD3">
      <w:pPr>
        <w:jc w:val="center"/>
        <w:rPr>
          <w:szCs w:val="22"/>
        </w:rPr>
      </w:pPr>
      <w:r>
        <w:rPr>
          <w:noProof/>
          <w:szCs w:val="22"/>
          <w:lang w:eastAsia="en-GB"/>
        </w:rPr>
        <w:drawing>
          <wp:inline distT="0" distB="0" distL="0" distR="0">
            <wp:extent cx="5191125" cy="3248025"/>
            <wp:effectExtent l="0" t="0" r="9525" b="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91125" cy="3248025"/>
                    </a:xfrm>
                    <a:prstGeom prst="rect">
                      <a:avLst/>
                    </a:prstGeom>
                    <a:noFill/>
                    <a:ln>
                      <a:noFill/>
                    </a:ln>
                  </pic:spPr>
                </pic:pic>
              </a:graphicData>
            </a:graphic>
          </wp:inline>
        </w:drawing>
      </w:r>
    </w:p>
    <w:p w:rsidR="006E1BDE" w:rsidRDefault="00244DD3">
      <w:pPr>
        <w:rPr>
          <w:szCs w:val="22"/>
        </w:rPr>
      </w:pPr>
      <w:r>
        <w:rPr>
          <w:szCs w:val="22"/>
        </w:rPr>
        <w:t>Pyrolysis is thermal decomposition occurring in the absence of oxygen. It is always also the first step in combustion and gasification, but in these processes i</w:t>
      </w:r>
      <w:r>
        <w:rPr>
          <w:szCs w:val="22"/>
        </w:rPr>
        <w:t>t is followed by total or partial oxidation of the primary products. Lower process temperatures and longer vapour residence times favour the production of charcoal. High temperatures and longer residence times increase biomass conversion to gas, and modera</w:t>
      </w:r>
      <w:r>
        <w:rPr>
          <w:szCs w:val="22"/>
        </w:rPr>
        <w:t>te temperatures and short vapour residence time are optimum for producing liquids. Fast pyrolysis for liquids production is currently of particular interest</w:t>
      </w:r>
      <w:r>
        <w:rPr>
          <w:rStyle w:val="FootnoteReference"/>
          <w:szCs w:val="22"/>
        </w:rPr>
        <w:footnoteReference w:id="136"/>
      </w:r>
      <w:r>
        <w:rPr>
          <w:szCs w:val="22"/>
        </w:rPr>
        <w:t>.</w:t>
      </w:r>
    </w:p>
    <w:p w:rsidR="006E1BDE" w:rsidRDefault="00244DD3">
      <w:pPr>
        <w:rPr>
          <w:szCs w:val="22"/>
        </w:rPr>
      </w:pPr>
      <w:r>
        <w:rPr>
          <w:szCs w:val="22"/>
        </w:rPr>
        <w:t>Fast pyrolysis occurs in a time of few seconds or less. Therefore, heat and mass transfer process</w:t>
      </w:r>
      <w:r>
        <w:rPr>
          <w:szCs w:val="22"/>
        </w:rPr>
        <w:t>es and phase transition phenomena, as well as chemical reaction kinetics, play important roles. The critical issue is to bring the reacting biomass particles to the optimum process temperature and minimise their exposure to the intermediate (lower) tempera</w:t>
      </w:r>
      <w:r>
        <w:rPr>
          <w:szCs w:val="22"/>
        </w:rPr>
        <w:t>tures that favour formation of charcoal. One way this objective can be achieved is by using small particles, for example in the fluidised bed processes that are described later. Another possibility is to transfer heat very fast only to the particle surface</w:t>
      </w:r>
      <w:r>
        <w:rPr>
          <w:szCs w:val="22"/>
        </w:rPr>
        <w:t xml:space="preserve"> that contacts the heat source (this second method is applied in ablative processes).</w:t>
      </w:r>
    </w:p>
    <w:p w:rsidR="006E1BDE" w:rsidRDefault="00244DD3">
      <w:pPr>
        <w:rPr>
          <w:szCs w:val="22"/>
        </w:rPr>
      </w:pPr>
      <w:r>
        <w:rPr>
          <w:szCs w:val="22"/>
        </w:rPr>
        <w:t>The essential features of a fast pyrolysis process for producing liquids are:</w:t>
      </w:r>
    </w:p>
    <w:p w:rsidR="006E1BDE" w:rsidRDefault="00244DD3">
      <w:pPr>
        <w:pStyle w:val="ListParagraph"/>
        <w:ind w:left="572" w:hanging="215"/>
        <w:rPr>
          <w:szCs w:val="22"/>
        </w:rPr>
      </w:pPr>
      <w:r>
        <w:rPr>
          <w:szCs w:val="22"/>
        </w:rPr>
        <w:t xml:space="preserve">very high heating and heat transfer rates at the reaction interface, which usually requires </w:t>
      </w:r>
      <w:r>
        <w:rPr>
          <w:szCs w:val="22"/>
        </w:rPr>
        <w:t>a finely ground biomass feed;</w:t>
      </w:r>
    </w:p>
    <w:p w:rsidR="006E1BDE" w:rsidRDefault="00244DD3">
      <w:pPr>
        <w:pStyle w:val="ListParagraph"/>
        <w:ind w:left="572" w:hanging="215"/>
        <w:rPr>
          <w:szCs w:val="22"/>
        </w:rPr>
      </w:pPr>
      <w:r>
        <w:rPr>
          <w:szCs w:val="22"/>
        </w:rPr>
        <w:t>carefully controlled pyrolysis reaction temperature of around 500°C and vapour phase temperature of 400–450°C;</w:t>
      </w:r>
    </w:p>
    <w:p w:rsidR="006E1BDE" w:rsidRDefault="00244DD3">
      <w:pPr>
        <w:pStyle w:val="ListParagraph"/>
        <w:ind w:left="572" w:hanging="215"/>
        <w:rPr>
          <w:szCs w:val="22"/>
        </w:rPr>
      </w:pPr>
      <w:r>
        <w:rPr>
          <w:szCs w:val="22"/>
        </w:rPr>
        <w:t>short vapour residence times of typically less than 2 seconds;</w:t>
      </w:r>
    </w:p>
    <w:p w:rsidR="006E1BDE" w:rsidRDefault="00244DD3">
      <w:pPr>
        <w:pStyle w:val="ListParagraph"/>
        <w:ind w:left="572" w:hanging="215"/>
        <w:rPr>
          <w:szCs w:val="22"/>
        </w:rPr>
      </w:pPr>
      <w:r>
        <w:rPr>
          <w:szCs w:val="22"/>
        </w:rPr>
        <w:t>rapid cooling of the pyrolysis vapours to give the b</w:t>
      </w:r>
      <w:r>
        <w:rPr>
          <w:szCs w:val="22"/>
        </w:rPr>
        <w:t>io-oil product.</w:t>
      </w:r>
    </w:p>
    <w:p w:rsidR="006E1BDE" w:rsidRDefault="00244DD3">
      <w:pPr>
        <w:rPr>
          <w:szCs w:val="22"/>
        </w:rPr>
      </w:pPr>
      <w:r>
        <w:rPr>
          <w:szCs w:val="22"/>
        </w:rPr>
        <w:t>The main product, bio-oil, is obtained in yields of up to 75% wt on a dry-feed basis, together with by-product char and gas, which are used within the process to provide the process heat requirements so there are no waste streams other than</w:t>
      </w:r>
      <w:r>
        <w:rPr>
          <w:szCs w:val="22"/>
        </w:rPr>
        <w:t xml:space="preserve"> flue gas and ash.</w:t>
      </w:r>
    </w:p>
    <w:p w:rsidR="006E1BDE" w:rsidRDefault="00244DD3">
      <w:pPr>
        <w:pStyle w:val="Heading3"/>
        <w:rPr>
          <w:szCs w:val="22"/>
        </w:rPr>
      </w:pPr>
      <w:bookmarkStart w:id="68" w:name="_Toc516598385"/>
      <w:r>
        <w:rPr>
          <w:szCs w:val="22"/>
        </w:rPr>
        <w:t>Fast Pyrolysis in the EU</w:t>
      </w:r>
      <w:bookmarkEnd w:id="68"/>
    </w:p>
    <w:p w:rsidR="006E1BDE" w:rsidRDefault="00244DD3">
      <w:pPr>
        <w:pStyle w:val="EXNumberedlist"/>
        <w:numPr>
          <w:ilvl w:val="0"/>
          <w:numId w:val="0"/>
        </w:numPr>
        <w:ind w:left="360"/>
        <w:rPr>
          <w:lang w:eastAsia="sv-SE"/>
        </w:rPr>
      </w:pPr>
      <w:r>
        <w:rPr>
          <w:lang w:eastAsia="sv-SE"/>
        </w:rPr>
        <w:t xml:space="preserve">Fast pyrolysis has been developed over several years in the EU by few companies which have provided for continuity in the development of the technology mainly in the Netherlands and Finland. Initial work focused </w:t>
      </w:r>
      <w:r>
        <w:rPr>
          <w:lang w:eastAsia="sv-SE"/>
        </w:rPr>
        <w:t>on producing a fuel oil for power and heat applications and few commercial facilities are operational at present in the EU with good prospects for further commercialisation. The focus recently has turned in co-processing bio-oil in existing refineries aimi</w:t>
      </w:r>
      <w:r>
        <w:rPr>
          <w:lang w:eastAsia="sv-SE"/>
        </w:rPr>
        <w:t xml:space="preserve">ng in reducing downstream processing costs in upgrading the bio-oil into a transport fuel. </w:t>
      </w:r>
    </w:p>
    <w:p w:rsidR="006E1BDE" w:rsidRDefault="00244DD3">
      <w:pPr>
        <w:rPr>
          <w:szCs w:val="22"/>
        </w:rPr>
      </w:pPr>
      <w:r>
        <w:rPr>
          <w:szCs w:val="22"/>
        </w:rPr>
        <w:t>Table 7 shows the technology developers for advanced biofuels via fast pyrolysis in the EU. Both plants have been operating with the purpose to supply the bio-oil f</w:t>
      </w:r>
      <w:r>
        <w:rPr>
          <w:szCs w:val="22"/>
        </w:rPr>
        <w:t>or CHP applications in commercial facilities; however, they are looking into upgrading the bio-oil into advanced biofuels.</w:t>
      </w:r>
    </w:p>
    <w:p w:rsidR="006E1BDE" w:rsidRDefault="00244DD3">
      <w:pPr>
        <w:pStyle w:val="Caption"/>
        <w:rPr>
          <w:szCs w:val="22"/>
        </w:rPr>
      </w:pPr>
      <w:r>
        <w:rPr>
          <w:szCs w:val="22"/>
        </w:rPr>
        <w:t>Table 7: Fast pyrolysis projects in the EU</w:t>
      </w:r>
    </w:p>
    <w:tbl>
      <w:tblPr>
        <w:tblStyle w:val="GridTable5Dark-Accent11"/>
        <w:tblW w:w="0" w:type="auto"/>
        <w:tblLook w:val="04A0" w:firstRow="1" w:lastRow="0" w:firstColumn="1" w:lastColumn="0" w:noHBand="0" w:noVBand="1"/>
      </w:tblPr>
      <w:tblGrid>
        <w:gridCol w:w="421"/>
        <w:gridCol w:w="2239"/>
        <w:gridCol w:w="2168"/>
        <w:gridCol w:w="1522"/>
        <w:gridCol w:w="1377"/>
        <w:gridCol w:w="57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Technology Developer/Plant</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Production Capacity</w:t>
            </w:r>
          </w:p>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MW</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Fortum</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Joensuu, Finland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30MW</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Biomass Technology Group, (BTG)</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EMPYRO Hengelo, The Netherlands</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8 MW</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9</w:t>
            </w:r>
          </w:p>
        </w:tc>
      </w:tr>
    </w:tbl>
    <w:p w:rsidR="006E1BDE" w:rsidRDefault="006E1BDE">
      <w:pPr>
        <w:rPr>
          <w:szCs w:val="22"/>
        </w:rPr>
      </w:pPr>
    </w:p>
    <w:p w:rsidR="006E1BDE" w:rsidRDefault="00244DD3">
      <w:pPr>
        <w:rPr>
          <w:szCs w:val="22"/>
        </w:rPr>
      </w:pPr>
      <w:r>
        <w:rPr>
          <w:szCs w:val="22"/>
        </w:rPr>
        <w:t>Fortum</w:t>
      </w:r>
      <w:r>
        <w:rPr>
          <w:rStyle w:val="FootnoteReference"/>
          <w:szCs w:val="22"/>
        </w:rPr>
        <w:footnoteReference w:id="137"/>
      </w:r>
      <w:r>
        <w:rPr>
          <w:szCs w:val="22"/>
        </w:rPr>
        <w:t xml:space="preserve"> integrated a fast pyrolysis unit in the </w:t>
      </w:r>
      <w:r>
        <w:rPr>
          <w:b/>
          <w:szCs w:val="22"/>
        </w:rPr>
        <w:t>Joensuu CHP plant</w:t>
      </w:r>
      <w:r>
        <w:rPr>
          <w:szCs w:val="22"/>
        </w:rPr>
        <w:t xml:space="preserve">. Bio-oil is produced from forest residues, wood from first thinnings </w:t>
      </w:r>
      <w:r>
        <w:rPr>
          <w:szCs w:val="22"/>
        </w:rPr>
        <w:t>and other wood biomass, such as forest industry by-products, sourced locally from the Joensuu region. The Joensuu bio-oil plant’s annual production of 50,000 tonnes corresponds to the heating needs of more than 10,000 households.</w:t>
      </w:r>
    </w:p>
    <w:p w:rsidR="006E1BDE" w:rsidRDefault="00244DD3">
      <w:pPr>
        <w:pStyle w:val="Caption"/>
        <w:rPr>
          <w:szCs w:val="22"/>
        </w:rPr>
      </w:pPr>
      <w:r>
        <w:rPr>
          <w:szCs w:val="22"/>
        </w:rPr>
        <w:t xml:space="preserve">Figure 11: Fortum's </w:t>
      </w:r>
      <w:r>
        <w:rPr>
          <w:szCs w:val="22"/>
        </w:rPr>
        <w:t>Joensuu power plant</w:t>
      </w:r>
    </w:p>
    <w:p w:rsidR="006E1BDE" w:rsidRDefault="00244DD3">
      <w:pPr>
        <w:jc w:val="center"/>
        <w:rPr>
          <w:szCs w:val="22"/>
        </w:rPr>
      </w:pPr>
      <w:r>
        <w:rPr>
          <w:noProof/>
          <w:szCs w:val="22"/>
          <w:lang w:eastAsia="en-GB"/>
        </w:rPr>
        <w:drawing>
          <wp:inline distT="0" distB="0" distL="0" distR="0">
            <wp:extent cx="3829050" cy="2544505"/>
            <wp:effectExtent l="0" t="0" r="0"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hugin.info/149898/I/1877828/6609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35039" cy="2548485"/>
                    </a:xfrm>
                    <a:prstGeom prst="rect">
                      <a:avLst/>
                    </a:prstGeom>
                    <a:noFill/>
                    <a:ln>
                      <a:noFill/>
                    </a:ln>
                  </pic:spPr>
                </pic:pic>
              </a:graphicData>
            </a:graphic>
          </wp:inline>
        </w:drawing>
      </w:r>
    </w:p>
    <w:p w:rsidR="006E1BDE" w:rsidRDefault="00244DD3">
      <w:pPr>
        <w:rPr>
          <w:szCs w:val="22"/>
        </w:rPr>
      </w:pPr>
      <w:r>
        <w:rPr>
          <w:b/>
          <w:szCs w:val="22"/>
        </w:rPr>
        <w:t>BTG’s EMPYRO plant</w:t>
      </w:r>
      <w:r>
        <w:rPr>
          <w:rStyle w:val="FootnoteReference"/>
          <w:szCs w:val="22"/>
        </w:rPr>
        <w:footnoteReference w:id="138"/>
      </w:r>
      <w:r>
        <w:rPr>
          <w:szCs w:val="22"/>
        </w:rPr>
        <w:t xml:space="preserve"> converts up to 70 wt.% of the biomass feedstock into bio-oil and the remaining part into char and gas. BTG's unique and patented pyrolysis technology is characterised by an intense mixing without the need for an inert carrier gas. BTG-BTL’s has taken BTG'</w:t>
      </w:r>
      <w:r>
        <w:rPr>
          <w:szCs w:val="22"/>
        </w:rPr>
        <w:t>s patented RCR (Rotating Cone Reactor) fast pyrolysis technology and engineered it into a commercial industrial installation. The improved RCR design results in a remarkably small reactor; reduced system complexity and minimum downstream equipment size com</w:t>
      </w:r>
      <w:r>
        <w:rPr>
          <w:szCs w:val="22"/>
        </w:rPr>
        <w:t xml:space="preserve">pared to competing pyrolysis technologies. BTG-BTL’s parent company is involved in the Biocoup project. Research in this project has demonstrated on laboratory scale that up to 20% of upgraded pyrolysis oil can be mixed in a standard refinery. Furthermore </w:t>
      </w:r>
      <w:r>
        <w:rPr>
          <w:szCs w:val="22"/>
        </w:rPr>
        <w:t>Petrobras has managed to demonstrate at scale that it is feasible to co-process crude pyrolysis oil in existing oil refineries into gasoline and diesel. Recently BTG has driven over 100 km on a blend of upgraded pyrolysis oil and diesel to demonstrate that</w:t>
      </w:r>
      <w:r>
        <w:rPr>
          <w:szCs w:val="22"/>
        </w:rPr>
        <w:t xml:space="preserve"> pyrolysis oil can be blended in a high proportion with fossil diesel</w:t>
      </w:r>
      <w:r>
        <w:rPr>
          <w:rStyle w:val="FootnoteReference"/>
          <w:szCs w:val="22"/>
        </w:rPr>
        <w:footnoteReference w:id="139"/>
      </w:r>
      <w:r>
        <w:rPr>
          <w:szCs w:val="22"/>
        </w:rPr>
        <w:t xml:space="preserve">. The EMPYRO project was supported by the European Union’s FP7 program for innovation, see Table 18 in Section 8.2.1. </w:t>
      </w:r>
    </w:p>
    <w:p w:rsidR="006E1BDE" w:rsidRDefault="00244DD3">
      <w:pPr>
        <w:pStyle w:val="Caption"/>
        <w:rPr>
          <w:szCs w:val="22"/>
        </w:rPr>
      </w:pPr>
      <w:r>
        <w:rPr>
          <w:szCs w:val="22"/>
        </w:rPr>
        <w:t>Figure 12: BTG’s EMPYRO plant</w:t>
      </w:r>
    </w:p>
    <w:p w:rsidR="006E1BDE" w:rsidRDefault="00244DD3">
      <w:pPr>
        <w:jc w:val="center"/>
        <w:rPr>
          <w:szCs w:val="22"/>
        </w:rPr>
      </w:pPr>
      <w:r>
        <w:rPr>
          <w:noProof/>
          <w:szCs w:val="22"/>
          <w:lang w:eastAsia="en-GB"/>
        </w:rPr>
        <w:drawing>
          <wp:inline distT="0" distB="0" distL="0" distR="0">
            <wp:extent cx="3362325" cy="251998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64204" cy="2521397"/>
                    </a:xfrm>
                    <a:prstGeom prst="rect">
                      <a:avLst/>
                    </a:prstGeom>
                    <a:noFill/>
                    <a:ln>
                      <a:noFill/>
                    </a:ln>
                  </pic:spPr>
                </pic:pic>
              </a:graphicData>
            </a:graphic>
          </wp:inline>
        </w:drawing>
      </w:r>
    </w:p>
    <w:p w:rsidR="006E1BDE" w:rsidRDefault="00244DD3">
      <w:pPr>
        <w:pStyle w:val="Heading3"/>
        <w:rPr>
          <w:szCs w:val="22"/>
        </w:rPr>
      </w:pPr>
      <w:bookmarkStart w:id="69" w:name="_Toc516598386"/>
      <w:r>
        <w:rPr>
          <w:szCs w:val="22"/>
        </w:rPr>
        <w:t>Fast pyrolysis in India</w:t>
      </w:r>
      <w:bookmarkEnd w:id="69"/>
    </w:p>
    <w:p w:rsidR="006E1BDE" w:rsidRDefault="00244DD3">
      <w:pPr>
        <w:rPr>
          <w:szCs w:val="22"/>
        </w:rPr>
      </w:pPr>
      <w:r>
        <w:rPr>
          <w:szCs w:val="22"/>
        </w:rPr>
        <w:t xml:space="preserve">There have </w:t>
      </w:r>
      <w:r>
        <w:rPr>
          <w:szCs w:val="22"/>
        </w:rPr>
        <w:t>been few efforts to develop fast pyrolysis in India however, significant efforts have been made based on the process of thermochemical catalytic technology which has reached the large scale demonstration phase. This technology converts biomass directly int</w:t>
      </w:r>
      <w:r>
        <w:rPr>
          <w:szCs w:val="22"/>
        </w:rPr>
        <w:t xml:space="preserve">o ‘drop in fuels’. </w:t>
      </w:r>
    </w:p>
    <w:p w:rsidR="006E1BDE" w:rsidRDefault="00244DD3">
      <w:pPr>
        <w:pStyle w:val="Caption"/>
        <w:rPr>
          <w:szCs w:val="22"/>
        </w:rPr>
      </w:pPr>
      <w:r>
        <w:rPr>
          <w:szCs w:val="22"/>
        </w:rPr>
        <w:t>Table 8: Thermochemical catalytic technology projects in India</w:t>
      </w:r>
    </w:p>
    <w:tbl>
      <w:tblPr>
        <w:tblStyle w:val="GridTable5Dark-Accent11"/>
        <w:tblW w:w="0" w:type="auto"/>
        <w:tblLook w:val="04A0" w:firstRow="1" w:lastRow="0" w:firstColumn="1" w:lastColumn="0" w:noHBand="0" w:noVBand="1"/>
      </w:tblPr>
      <w:tblGrid>
        <w:gridCol w:w="421"/>
        <w:gridCol w:w="2364"/>
        <w:gridCol w:w="1657"/>
        <w:gridCol w:w="1726"/>
        <w:gridCol w:w="1559"/>
        <w:gridCol w:w="57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rPr>
                <w:b w:val="0"/>
              </w:rPr>
            </w:pPr>
            <w:r>
              <w:t>N°</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Technology Developer/Plant</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Plant/Location</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Production Capacity</w:t>
            </w:r>
          </w:p>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MW</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In operation since</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pPr>
            <w:r>
              <w:t>1</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CRI/SHELL</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Bangalore, India</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5 ton per day input</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2017</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8</w:t>
            </w:r>
          </w:p>
        </w:tc>
      </w:tr>
    </w:tbl>
    <w:p w:rsidR="006E1BDE" w:rsidRDefault="006E1BDE">
      <w:pPr>
        <w:rPr>
          <w:szCs w:val="22"/>
        </w:rPr>
      </w:pPr>
    </w:p>
    <w:p w:rsidR="006E1BDE" w:rsidRDefault="00244DD3">
      <w:pPr>
        <w:rPr>
          <w:szCs w:val="22"/>
        </w:rPr>
      </w:pPr>
      <w:r>
        <w:rPr>
          <w:szCs w:val="22"/>
        </w:rPr>
        <w:t>The</w:t>
      </w:r>
      <w:r>
        <w:rPr>
          <w:b/>
          <w:szCs w:val="22"/>
        </w:rPr>
        <w:t xml:space="preserve"> CRI/SHELL/ IH</w:t>
      </w:r>
      <w:r>
        <w:rPr>
          <w:b/>
          <w:szCs w:val="22"/>
          <w:vertAlign w:val="superscript"/>
        </w:rPr>
        <w:t xml:space="preserve">2 </w:t>
      </w:r>
      <w:r>
        <w:rPr>
          <w:b/>
          <w:szCs w:val="22"/>
        </w:rPr>
        <w:t>plant</w:t>
      </w:r>
      <w:r>
        <w:rPr>
          <w:szCs w:val="22"/>
        </w:rPr>
        <w:t xml:space="preserve"> technology involves four primary processes. At first the biomass is conditioned by sizing and drying up to 10 – 30 wt.% moisture. The second process step comprises of hydrodeoxygenation of the volatilized biomass using hydrogen with proprietary catal</w:t>
      </w:r>
      <w:r>
        <w:rPr>
          <w:szCs w:val="22"/>
        </w:rPr>
        <w:t xml:space="preserve">ysts to produce a raw stable hydrocarbon product.  The third step employs a fixed–bed hydrotreater, which uses other proprietary catalysts to polish the first–stage product and transform it into a finished hydrocarbon fuel or blend stock.  Another primary </w:t>
      </w:r>
      <w:r>
        <w:rPr>
          <w:szCs w:val="22"/>
        </w:rPr>
        <w:t>element of this technology is a hydrogen production from biomass in the hydrogen manufacturing unit (HMU) that converts light gases generated in the first–stage to renewable hydrogen, in sufficient quantity for process needs. The individual process/ elemen</w:t>
      </w:r>
      <w:r>
        <w:rPr>
          <w:szCs w:val="22"/>
        </w:rPr>
        <w:t>ts have been commercialized. This technology can produce gasoline (petrol), civil jet fuel grade and diesel. While the IH2 technology concept was developed by the Chicago-based Gas Technology Institute (GTI) for conversion of municipal and agriculture wast</w:t>
      </w:r>
      <w:r>
        <w:rPr>
          <w:szCs w:val="22"/>
        </w:rPr>
        <w:t>e into liquid transport fuel, the worldwide license rights for the new technology were acquired by CRI Catalyst Company</w:t>
      </w:r>
      <w:r>
        <w:rPr>
          <w:rStyle w:val="FootnoteReference"/>
          <w:szCs w:val="22"/>
        </w:rPr>
        <w:footnoteReference w:id="140"/>
      </w:r>
      <w:r>
        <w:rPr>
          <w:szCs w:val="22"/>
        </w:rPr>
        <w:t>, a subsidiary of Royal Dutch Shell</w:t>
      </w:r>
      <w:r>
        <w:rPr>
          <w:rStyle w:val="FootnoteReference"/>
          <w:szCs w:val="22"/>
        </w:rPr>
        <w:footnoteReference w:id="141"/>
      </w:r>
      <w:r>
        <w:rPr>
          <w:szCs w:val="22"/>
        </w:rPr>
        <w:t>. The minimum commercially viable scale of this technology is expected to be from 500 to 1000 TPD of</w:t>
      </w:r>
      <w:r>
        <w:rPr>
          <w:szCs w:val="22"/>
        </w:rPr>
        <w:t xml:space="preserve"> biomass. A 500 TPD plant will produce about 200 TPD of renewable ‘drop in advanced biofuel’</w:t>
      </w:r>
      <w:r>
        <w:rPr>
          <w:rStyle w:val="FootnoteReference"/>
          <w:szCs w:val="22"/>
        </w:rPr>
        <w:footnoteReference w:id="142"/>
      </w:r>
      <w:r>
        <w:rPr>
          <w:szCs w:val="22"/>
        </w:rPr>
        <w:t>.</w:t>
      </w:r>
    </w:p>
    <w:p w:rsidR="006E1BDE" w:rsidRDefault="006E1BDE">
      <w:pPr>
        <w:numPr>
          <w:ilvl w:val="0"/>
          <w:numId w:val="0"/>
        </w:numPr>
        <w:rPr>
          <w:szCs w:val="22"/>
        </w:rPr>
      </w:pPr>
    </w:p>
    <w:p w:rsidR="006E1BDE" w:rsidRDefault="00244DD3">
      <w:pPr>
        <w:pStyle w:val="Caption"/>
        <w:rPr>
          <w:szCs w:val="22"/>
        </w:rPr>
      </w:pPr>
      <w:r>
        <w:rPr>
          <w:szCs w:val="22"/>
        </w:rPr>
        <w:t>Figure 13: Photo of the CRI/SHELL demonstration plant in Bangalore, India</w:t>
      </w:r>
    </w:p>
    <w:p w:rsidR="006E1BDE" w:rsidRDefault="00244DD3">
      <w:pPr>
        <w:jc w:val="center"/>
        <w:rPr>
          <w:szCs w:val="22"/>
        </w:rPr>
      </w:pPr>
      <w:r>
        <w:rPr>
          <w:noProof/>
          <w:szCs w:val="22"/>
          <w:lang w:eastAsia="en-GB"/>
        </w:rPr>
        <w:drawing>
          <wp:inline distT="0" distB="0" distL="0" distR="0">
            <wp:extent cx="3619500" cy="2397689"/>
            <wp:effectExtent l="0" t="0" r="0" b="3175"/>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NightShots13June17_IH2 (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28943" cy="2403944"/>
                    </a:xfrm>
                    <a:prstGeom prst="rect">
                      <a:avLst/>
                    </a:prstGeom>
                    <a:noFill/>
                    <a:ln>
                      <a:noFill/>
                    </a:ln>
                  </pic:spPr>
                </pic:pic>
              </a:graphicData>
            </a:graphic>
          </wp:inline>
        </w:drawing>
      </w:r>
    </w:p>
    <w:p w:rsidR="006E1BDE" w:rsidRDefault="00244DD3">
      <w:pPr>
        <w:rPr>
          <w:szCs w:val="22"/>
        </w:rPr>
      </w:pPr>
      <w:r>
        <w:rPr>
          <w:szCs w:val="22"/>
        </w:rPr>
        <w:t>The Department of Biotechnology of the Institute of Chemical Technology, Mumbai (DBT</w:t>
      </w:r>
      <w:r>
        <w:rPr>
          <w:szCs w:val="22"/>
        </w:rPr>
        <w:t>-ICT) has developed a biomass liquefaction technology to produce Biogas/Biomethane. It is a hybrid patented technology based on Catalytic Thermo-Liquefaction (CTL) of biomass or MSW. The technology uses a new catalyst which operates at benign conditions of</w:t>
      </w:r>
      <w:r>
        <w:rPr>
          <w:szCs w:val="22"/>
        </w:rPr>
        <w:t xml:space="preserve"> low temperature of 1500°C and 15 bar pressure and claims to give an oil yield of 90% and nearly 100% of carbon recovery efficient. The calorific value of the CTL-Oil is 22 to 25 MJ/kg. The oil can be used directly as a fuel in shipping or in the boiler. A</w:t>
      </w:r>
      <w:r>
        <w:rPr>
          <w:szCs w:val="22"/>
        </w:rPr>
        <w:t>nother conventional way to use the CTL-oil is to upgrading this oil to petroleum products such as gasoline and diesel by catalytic dehydration/hydrotreatment followed by cracking and distillation. DBT-ICT has also proposed a third novel process route to pr</w:t>
      </w:r>
      <w:r>
        <w:rPr>
          <w:szCs w:val="22"/>
        </w:rPr>
        <w:t>oduce biogas from the CTL-oil followed by purification to obtain compressed biomethane (bio-CNG).  The anaerobic digestion in this process is very efficient and it is claimed that the total residence time for digestion is less than 24 hours and produces 90</w:t>
      </w:r>
      <w:r>
        <w:rPr>
          <w:szCs w:val="22"/>
        </w:rPr>
        <w:t>% methane yields and is a zero solid waste technology. However, this process to producing biomethane from biomass or MSW seems relative complex compared to other available value chains. It is proposed to set up two plants of bioCNG based on MSW and one bas</w:t>
      </w:r>
      <w:r>
        <w:rPr>
          <w:szCs w:val="22"/>
        </w:rPr>
        <w:t xml:space="preserve">ed on biomass of capacity 100 TPD each in 2019. One of the plant proposes to produce methanol. </w:t>
      </w:r>
    </w:p>
    <w:p w:rsidR="006E1BDE" w:rsidRDefault="00244DD3">
      <w:pPr>
        <w:pStyle w:val="Heading3"/>
        <w:rPr>
          <w:szCs w:val="22"/>
        </w:rPr>
      </w:pPr>
      <w:bookmarkStart w:id="70" w:name="_Toc516598387"/>
      <w:r>
        <w:rPr>
          <w:szCs w:val="22"/>
        </w:rPr>
        <w:t>Hydrotreated Vegetable Oils (HVO)</w:t>
      </w:r>
      <w:bookmarkEnd w:id="70"/>
      <w:r>
        <w:rPr>
          <w:szCs w:val="22"/>
        </w:rPr>
        <w:t xml:space="preserve"> </w:t>
      </w:r>
    </w:p>
    <w:p w:rsidR="006E1BDE" w:rsidRDefault="00244DD3">
      <w:pPr>
        <w:rPr>
          <w:szCs w:val="22"/>
        </w:rPr>
      </w:pPr>
      <w:r>
        <w:rPr>
          <w:szCs w:val="22"/>
        </w:rPr>
        <w:t>HVO can be produced from a variety of resources such as vegetable oils, used cooking oils, process residues from oil industry</w:t>
      </w:r>
      <w:r>
        <w:rPr>
          <w:szCs w:val="22"/>
        </w:rPr>
        <w:t xml:space="preserve"> (e.g. palm oil industry), animal fats and waste streams, or any resource containing lipids, triglycerides and fatty acids. The process is very flexible allowing the use of waste streams with relative low cost.  HVO is easily blended into regular diesel in</w:t>
      </w:r>
      <w:r>
        <w:rPr>
          <w:szCs w:val="22"/>
        </w:rPr>
        <w:t xml:space="preserve"> any proportion, with no adverse impact on fuel quality or engines and it is therefore the preferred biofuels for existing diesel engines either for trucks or passenger cars. The best quality of HVO can be used in aviation as bio-kerosene.</w:t>
      </w:r>
    </w:p>
    <w:p w:rsidR="006E1BDE" w:rsidRDefault="00244DD3">
      <w:pPr>
        <w:pStyle w:val="Caption"/>
        <w:keepNext w:val="0"/>
        <w:rPr>
          <w:rFonts w:cstheme="minorHAnsi"/>
          <w:b w:val="0"/>
          <w:color w:val="auto"/>
          <w:szCs w:val="22"/>
        </w:rPr>
      </w:pPr>
      <w:r>
        <w:rPr>
          <w:rFonts w:cstheme="minorHAnsi"/>
          <w:b w:val="0"/>
          <w:color w:val="auto"/>
          <w:szCs w:val="22"/>
        </w:rPr>
        <w:t xml:space="preserve">Figure 14 shows </w:t>
      </w:r>
      <w:r>
        <w:rPr>
          <w:rFonts w:cstheme="minorHAnsi"/>
          <w:b w:val="0"/>
          <w:color w:val="auto"/>
          <w:szCs w:val="22"/>
        </w:rPr>
        <w:t>the simplified process flow diagram for HVO production. A key element in the process is the supply of hydrogen, which is needed for the hydrotreating process. HVO plants can be either standalone green-field or they can be integrated in existing refineries.</w:t>
      </w:r>
      <w:r>
        <w:rPr>
          <w:rFonts w:cstheme="minorHAnsi"/>
          <w:b w:val="0"/>
          <w:color w:val="auto"/>
          <w:szCs w:val="22"/>
        </w:rPr>
        <w:t xml:space="preserve"> Integration in existing refineries has the advantages that several services such as utilities, ancillaries are readily available while in general the permitting and licensing procedures are greatly simplifies resulting in relative fast revamping compared </w:t>
      </w:r>
      <w:r>
        <w:rPr>
          <w:rFonts w:cstheme="minorHAnsi"/>
          <w:b w:val="0"/>
          <w:color w:val="auto"/>
          <w:szCs w:val="22"/>
        </w:rPr>
        <w:t>to a green field</w:t>
      </w:r>
      <w:r>
        <w:rPr>
          <w:rFonts w:cstheme="minorHAnsi"/>
          <w:color w:val="auto"/>
          <w:szCs w:val="22"/>
        </w:rPr>
        <w:t>.</w:t>
      </w:r>
      <w:r>
        <w:rPr>
          <w:rFonts w:cstheme="minorHAnsi"/>
          <w:b w:val="0"/>
          <w:color w:val="auto"/>
          <w:szCs w:val="22"/>
        </w:rPr>
        <w:t xml:space="preserve"> In the EU there is tendency to retrofit existing refineries in HVO refineries as has been the case with ENI and TOTAL, see Table 9.</w:t>
      </w:r>
    </w:p>
    <w:p w:rsidR="006E1BDE" w:rsidRDefault="00244DD3">
      <w:pPr>
        <w:pStyle w:val="Caption"/>
        <w:rPr>
          <w:szCs w:val="22"/>
        </w:rPr>
      </w:pPr>
      <w:r>
        <w:rPr>
          <w:szCs w:val="22"/>
        </w:rPr>
        <w:t xml:space="preserve">Figure 14: HVO Simplified process flow diagram showing the variety of hydrocarbon fuels that can be </w:t>
      </w:r>
      <w:r>
        <w:rPr>
          <w:szCs w:val="22"/>
        </w:rPr>
        <w:t>produced</w:t>
      </w:r>
    </w:p>
    <w:p w:rsidR="006E1BDE" w:rsidRDefault="00244DD3">
      <w:pPr>
        <w:pStyle w:val="Caption"/>
        <w:keepNext w:val="0"/>
        <w:jc w:val="center"/>
        <w:rPr>
          <w:rFonts w:cstheme="minorHAnsi"/>
          <w:b w:val="0"/>
          <w:color w:val="auto"/>
          <w:szCs w:val="22"/>
        </w:rPr>
      </w:pPr>
      <w:r>
        <w:rPr>
          <w:noProof/>
          <w:szCs w:val="22"/>
          <w:lang w:eastAsia="en-GB"/>
        </w:rPr>
        <w:drawing>
          <wp:inline distT="0" distB="0" distL="0" distR="0">
            <wp:extent cx="5191125" cy="2971800"/>
            <wp:effectExtent l="0" t="0" r="9525"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91125" cy="2971800"/>
                    </a:xfrm>
                    <a:prstGeom prst="rect">
                      <a:avLst/>
                    </a:prstGeom>
                    <a:noFill/>
                    <a:ln>
                      <a:noFill/>
                    </a:ln>
                  </pic:spPr>
                </pic:pic>
              </a:graphicData>
            </a:graphic>
          </wp:inline>
        </w:drawing>
      </w:r>
    </w:p>
    <w:p w:rsidR="006E1BDE" w:rsidRDefault="006E1BDE"/>
    <w:p w:rsidR="006E1BDE" w:rsidRDefault="00244DD3">
      <w:pPr>
        <w:pStyle w:val="Heading3"/>
        <w:rPr>
          <w:szCs w:val="22"/>
        </w:rPr>
      </w:pPr>
      <w:bookmarkStart w:id="71" w:name="_Toc516598388"/>
      <w:r>
        <w:rPr>
          <w:szCs w:val="22"/>
        </w:rPr>
        <w:t>Hydrotreated Vegetable Oils (HVO) in the EU</w:t>
      </w:r>
      <w:bookmarkEnd w:id="71"/>
    </w:p>
    <w:p w:rsidR="006E1BDE" w:rsidRDefault="00244DD3">
      <w:pPr>
        <w:rPr>
          <w:szCs w:val="22"/>
          <w:lang w:eastAsia="sv-SE"/>
        </w:rPr>
      </w:pPr>
      <w:r>
        <w:rPr>
          <w:szCs w:val="22"/>
          <w:lang w:eastAsia="sv-SE"/>
        </w:rPr>
        <w:t>HVO has been a success story in the EU with NESTE</w:t>
      </w:r>
      <w:r>
        <w:rPr>
          <w:rStyle w:val="FootnoteReference"/>
          <w:szCs w:val="22"/>
          <w:lang w:eastAsia="sv-SE"/>
        </w:rPr>
        <w:footnoteReference w:id="143"/>
      </w:r>
      <w:r>
        <w:rPr>
          <w:szCs w:val="22"/>
          <w:lang w:eastAsia="sv-SE"/>
        </w:rPr>
        <w:t xml:space="preserve"> being the first company world-wide to produce this drop-in fuel on a commercial basis and has built plants worldwide. Other </w:t>
      </w:r>
      <w:r>
        <w:rPr>
          <w:szCs w:val="22"/>
        </w:rPr>
        <w:t>European</w:t>
      </w:r>
      <w:r>
        <w:rPr>
          <w:szCs w:val="22"/>
          <w:lang w:eastAsia="sv-SE"/>
        </w:rPr>
        <w:t xml:space="preserve"> refineries are reconverting existing oil refineries into HVO biorefineries. The problem this market and value chain faces in the EU is the fact that large scale commercial refineries need large volumes of vegetable oils and the most common feedstock is pa</w:t>
      </w:r>
      <w:r>
        <w:rPr>
          <w:szCs w:val="22"/>
          <w:lang w:eastAsia="sv-SE"/>
        </w:rPr>
        <w:t>lm oil which faces political and stakeholders’ opposition in the EU.</w:t>
      </w:r>
    </w:p>
    <w:p w:rsidR="006E1BDE" w:rsidRDefault="006E1BDE">
      <w:pPr>
        <w:pStyle w:val="Heading3"/>
        <w:numPr>
          <w:ilvl w:val="0"/>
          <w:numId w:val="0"/>
        </w:numPr>
        <w:ind w:left="288"/>
        <w:rPr>
          <w:szCs w:val="22"/>
        </w:rPr>
      </w:pPr>
    </w:p>
    <w:p w:rsidR="006E1BDE" w:rsidRDefault="00244DD3">
      <w:pPr>
        <w:pStyle w:val="Caption"/>
        <w:rPr>
          <w:szCs w:val="22"/>
        </w:rPr>
      </w:pPr>
      <w:r>
        <w:rPr>
          <w:szCs w:val="22"/>
        </w:rPr>
        <w:t>Table 9: Technology Providers for HVO in the EU</w:t>
      </w:r>
    </w:p>
    <w:tbl>
      <w:tblPr>
        <w:tblStyle w:val="GridTable5Dark-Accent11"/>
        <w:tblW w:w="0" w:type="auto"/>
        <w:tblLook w:val="04A0" w:firstRow="1" w:lastRow="0" w:firstColumn="1" w:lastColumn="0" w:noHBand="0" w:noVBand="1"/>
      </w:tblPr>
      <w:tblGrid>
        <w:gridCol w:w="424"/>
        <w:gridCol w:w="1891"/>
        <w:gridCol w:w="2104"/>
        <w:gridCol w:w="1739"/>
        <w:gridCol w:w="1570"/>
        <w:gridCol w:w="569"/>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keepLines/>
              <w:jc w:val="center"/>
              <w:rPr>
                <w:b w:val="0"/>
              </w:rPr>
            </w:pPr>
            <w:r>
              <w:rPr>
                <w:b w:val="0"/>
              </w:rPr>
              <w:t>N°</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Technology Developer</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Plant/Location</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Production Capacity</w:t>
            </w:r>
          </w:p>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tones/yr</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In operation since</w:t>
            </w:r>
          </w:p>
        </w:tc>
        <w:tc>
          <w:tcPr>
            <w:tcW w:w="0" w:type="auto"/>
            <w:vAlign w:val="center"/>
          </w:tcPr>
          <w:p w:rsidR="006E1BDE" w:rsidRDefault="00244DD3">
            <w:pPr>
              <w:keepNext/>
              <w:keepLines/>
              <w:jc w:val="center"/>
              <w:cnfStyle w:val="100000000000" w:firstRow="1" w:lastRow="0" w:firstColumn="0" w:lastColumn="0" w:oddVBand="0" w:evenVBand="0" w:oddHBand="0" w:evenHBand="0" w:firstRowFirstColumn="0" w:firstRowLastColumn="0" w:lastRowFirstColumn="0" w:lastRowLastColumn="0"/>
              <w:rPr>
                <w:b w:val="0"/>
              </w:rPr>
            </w:pPr>
            <w:r>
              <w:rPr>
                <w:b w:val="0"/>
              </w:rP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keepNext/>
              <w:keepLines/>
              <w:jc w:val="center"/>
              <w:rPr>
                <w:b w:val="0"/>
                <w:bCs w:val="0"/>
              </w:rPr>
            </w:pPr>
            <w:r>
              <w:t>1</w:t>
            </w:r>
          </w:p>
        </w:tc>
        <w:tc>
          <w:tcPr>
            <w:tcW w:w="0" w:type="auto"/>
            <w:vMerge w:val="restart"/>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NESTE</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Porvoo 1, Finland</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200,000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2007</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keepLines/>
              <w:jc w:val="center"/>
              <w:rPr>
                <w:b w:val="0"/>
                <w:bCs w:val="0"/>
              </w:rPr>
            </w:pPr>
          </w:p>
        </w:tc>
        <w:tc>
          <w:tcPr>
            <w:tcW w:w="0" w:type="auto"/>
            <w:vMerge/>
            <w:vAlign w:val="center"/>
          </w:tcPr>
          <w:p w:rsidR="006E1BDE" w:rsidRDefault="006E1BDE">
            <w:pPr>
              <w:keepNext/>
              <w:keepLines/>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Porvoo 2, Finland</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200,000</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2009</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keepLines/>
              <w:jc w:val="center"/>
              <w:rPr>
                <w:b w:val="0"/>
                <w:bCs w:val="0"/>
              </w:rPr>
            </w:pPr>
          </w:p>
        </w:tc>
        <w:tc>
          <w:tcPr>
            <w:tcW w:w="0" w:type="auto"/>
            <w:vMerge/>
            <w:vAlign w:val="center"/>
          </w:tcPr>
          <w:p w:rsidR="006E1BDE" w:rsidRDefault="006E1BDE">
            <w:pPr>
              <w:keepNext/>
              <w:keepLines/>
              <w:jc w:val="center"/>
              <w:cnfStyle w:val="000000100000" w:firstRow="0" w:lastRow="0" w:firstColumn="0" w:lastColumn="0" w:oddVBand="0" w:evenVBand="0" w:oddHBand="1" w:evenHBand="0" w:firstRowFirstColumn="0" w:firstRowLastColumn="0" w:lastRowFirstColumn="0" w:lastRowLastColumn="0"/>
            </w:pP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Singapore</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1,000,000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2010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keepLines/>
              <w:jc w:val="center"/>
              <w:rPr>
                <w:b w:val="0"/>
                <w:bCs w:val="0"/>
              </w:rPr>
            </w:pPr>
          </w:p>
        </w:tc>
        <w:tc>
          <w:tcPr>
            <w:tcW w:w="0" w:type="auto"/>
            <w:vMerge/>
            <w:vAlign w:val="center"/>
          </w:tcPr>
          <w:p w:rsidR="006E1BDE" w:rsidRDefault="006E1BDE">
            <w:pPr>
              <w:keepNext/>
              <w:keepLines/>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Rotterdam, Netherlands</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1,000,000</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2011</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keepLines/>
              <w:jc w:val="center"/>
            </w:pPr>
            <w:r>
              <w:t>2</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ENI</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Venice, Italy</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300,000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2014</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keepLines/>
              <w:jc w:val="center"/>
            </w:pPr>
            <w:r>
              <w:t>3</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UPM</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Lappeenranta, Finland</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100,000</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2015</w:t>
            </w:r>
          </w:p>
        </w:tc>
        <w:tc>
          <w:tcPr>
            <w:tcW w:w="0" w:type="auto"/>
            <w:vAlign w:val="center"/>
          </w:tcPr>
          <w:p w:rsidR="006E1BDE" w:rsidRDefault="00244DD3">
            <w:pPr>
              <w:keepNext/>
              <w:keepLines/>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keepLines/>
              <w:jc w:val="center"/>
            </w:pPr>
            <w:r>
              <w:t>4</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TOTAL</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La Mede, France</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500,000</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2018?</w:t>
            </w:r>
          </w:p>
        </w:tc>
        <w:tc>
          <w:tcPr>
            <w:tcW w:w="0" w:type="auto"/>
            <w:vAlign w:val="center"/>
          </w:tcPr>
          <w:p w:rsidR="006E1BDE" w:rsidRDefault="00244DD3">
            <w:pPr>
              <w:keepNext/>
              <w:keepLines/>
              <w:jc w:val="center"/>
              <w:cnfStyle w:val="000000100000" w:firstRow="0" w:lastRow="0" w:firstColumn="0" w:lastColumn="0" w:oddVBand="0" w:evenVBand="0" w:oddHBand="1" w:evenHBand="0" w:firstRowFirstColumn="0" w:firstRowLastColumn="0" w:lastRowFirstColumn="0" w:lastRowLastColumn="0"/>
            </w:pPr>
            <w:r>
              <w:t>9</w:t>
            </w:r>
          </w:p>
        </w:tc>
      </w:tr>
    </w:tbl>
    <w:p w:rsidR="006E1BDE" w:rsidRDefault="006E1BDE">
      <w:pPr>
        <w:rPr>
          <w:szCs w:val="22"/>
          <w:lang w:eastAsia="sv-SE"/>
        </w:rPr>
      </w:pPr>
    </w:p>
    <w:p w:rsidR="006E1BDE" w:rsidRDefault="00244DD3">
      <w:pPr>
        <w:rPr>
          <w:szCs w:val="22"/>
          <w:lang w:eastAsia="sv-SE"/>
        </w:rPr>
      </w:pPr>
      <w:r>
        <w:rPr>
          <w:szCs w:val="22"/>
          <w:lang w:eastAsia="sv-SE"/>
        </w:rPr>
        <w:t xml:space="preserve">The Finnish company </w:t>
      </w:r>
      <w:r>
        <w:rPr>
          <w:b/>
          <w:szCs w:val="22"/>
          <w:lang w:eastAsia="sv-SE"/>
        </w:rPr>
        <w:t>NESTE</w:t>
      </w:r>
      <w:r>
        <w:rPr>
          <w:rStyle w:val="FootnoteReference"/>
          <w:szCs w:val="22"/>
          <w:lang w:eastAsia="sv-SE"/>
        </w:rPr>
        <w:footnoteReference w:id="144"/>
      </w:r>
      <w:r>
        <w:rPr>
          <w:szCs w:val="22"/>
          <w:lang w:eastAsia="sv-SE"/>
        </w:rPr>
        <w:t xml:space="preserve"> was the first worldwide to invest in this conversion technology and started in 2007 by building a relative small facility at their main refinery in Porvoo marketing the HVO as NEXBTL fuel. This has been followed in relative fast investment decisions by 3 </w:t>
      </w:r>
      <w:r>
        <w:rPr>
          <w:szCs w:val="22"/>
          <w:lang w:eastAsia="sv-SE"/>
        </w:rPr>
        <w:t xml:space="preserve">more plants, the latter two built at a large commercial capacity of 1,000,000 t/y in Singapore and Rotterdam. Currently NESTE has a global annual production capacity of 2.4 million tones. All NESTE refineries are green field stand alone. </w:t>
      </w:r>
    </w:p>
    <w:p w:rsidR="006E1BDE" w:rsidRDefault="00244DD3">
      <w:pPr>
        <w:pStyle w:val="Caption"/>
        <w:rPr>
          <w:szCs w:val="22"/>
        </w:rPr>
      </w:pPr>
      <w:r>
        <w:rPr>
          <w:szCs w:val="22"/>
        </w:rPr>
        <w:t>Figure 15: Neste’</w:t>
      </w:r>
      <w:r>
        <w:rPr>
          <w:szCs w:val="22"/>
        </w:rPr>
        <w:t>s HVO plant, Rotterdam, The Netherlands</w:t>
      </w:r>
    </w:p>
    <w:p w:rsidR="006E1BDE" w:rsidRDefault="00244DD3">
      <w:pPr>
        <w:jc w:val="center"/>
        <w:rPr>
          <w:szCs w:val="22"/>
          <w:lang w:eastAsia="sv-SE"/>
        </w:rPr>
      </w:pPr>
      <w:r>
        <w:rPr>
          <w:noProof/>
          <w:szCs w:val="22"/>
          <w:lang w:eastAsia="en-GB"/>
        </w:rPr>
        <w:drawing>
          <wp:inline distT="0" distB="0" distL="0" distR="0">
            <wp:extent cx="3100387" cy="205740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102115" cy="2058547"/>
                    </a:xfrm>
                    <a:prstGeom prst="rect">
                      <a:avLst/>
                    </a:prstGeom>
                    <a:noFill/>
                    <a:ln>
                      <a:noFill/>
                    </a:ln>
                  </pic:spPr>
                </pic:pic>
              </a:graphicData>
            </a:graphic>
          </wp:inline>
        </w:drawing>
      </w:r>
    </w:p>
    <w:p w:rsidR="006E1BDE" w:rsidRDefault="00244DD3">
      <w:pPr>
        <w:rPr>
          <w:szCs w:val="22"/>
          <w:lang w:eastAsia="sv-SE"/>
        </w:rPr>
      </w:pPr>
      <w:r>
        <w:rPr>
          <w:b/>
          <w:szCs w:val="22"/>
          <w:lang w:eastAsia="sv-SE"/>
        </w:rPr>
        <w:t>ENI</w:t>
      </w:r>
      <w:r>
        <w:rPr>
          <w:rStyle w:val="FootnoteReference"/>
          <w:szCs w:val="22"/>
          <w:lang w:eastAsia="sv-SE"/>
        </w:rPr>
        <w:footnoteReference w:id="145"/>
      </w:r>
      <w:r>
        <w:rPr>
          <w:szCs w:val="22"/>
          <w:lang w:eastAsia="sv-SE"/>
        </w:rPr>
        <w:t>, the Italian Oil company uses the Ecofining™ process from UOP</w:t>
      </w:r>
      <w:r>
        <w:rPr>
          <w:rStyle w:val="FootnoteReference"/>
          <w:szCs w:val="22"/>
          <w:lang w:eastAsia="sv-SE"/>
        </w:rPr>
        <w:footnoteReference w:id="146"/>
      </w:r>
      <w:r>
        <w:rPr>
          <w:szCs w:val="22"/>
          <w:lang w:eastAsia="sv-SE"/>
        </w:rPr>
        <w:t xml:space="preserve"> to convert various lipid and fats feedstocks into HVO via deoxygenation, isomerization and product separation. The </w:t>
      </w:r>
      <w:r>
        <w:rPr>
          <w:b/>
          <w:szCs w:val="22"/>
          <w:lang w:eastAsia="sv-SE"/>
        </w:rPr>
        <w:t>Green Refinery Project</w:t>
      </w:r>
      <w:r>
        <w:rPr>
          <w:szCs w:val="22"/>
          <w:lang w:eastAsia="sv-SE"/>
        </w:rPr>
        <w:t xml:space="preserve"> of ENI l</w:t>
      </w:r>
      <w:r>
        <w:rPr>
          <w:szCs w:val="22"/>
          <w:lang w:eastAsia="sv-SE"/>
        </w:rPr>
        <w:t xml:space="preserve">ocated at Porto Marghera in Venice, is the world’s first plant where a section of an existing oil refinery was retrofitted into a biorefinery by revamping two existing hydrotreating units. Hydrogen is provided by the existing catalytic reforming unit. The </w:t>
      </w:r>
      <w:r>
        <w:rPr>
          <w:szCs w:val="22"/>
          <w:lang w:eastAsia="sv-SE"/>
        </w:rPr>
        <w:t>plant produces green diesel, green naphtha, LPG and potentially also jet fuel. It is currently fed by palm oil, but the plan is also to use biomass.</w:t>
      </w:r>
    </w:p>
    <w:p w:rsidR="006E1BDE" w:rsidRDefault="00244DD3">
      <w:pPr>
        <w:pStyle w:val="Caption"/>
        <w:rPr>
          <w:szCs w:val="22"/>
        </w:rPr>
      </w:pPr>
      <w:r>
        <w:rPr>
          <w:szCs w:val="22"/>
        </w:rPr>
        <w:t>Figure 16: The ENI integrated biorefinery in an existing refinery, Venice, Italy</w:t>
      </w:r>
    </w:p>
    <w:p w:rsidR="006E1BDE" w:rsidRDefault="00244DD3">
      <w:pPr>
        <w:jc w:val="center"/>
        <w:rPr>
          <w:szCs w:val="22"/>
          <w:lang w:eastAsia="sv-SE"/>
        </w:rPr>
      </w:pPr>
      <w:r>
        <w:rPr>
          <w:rFonts w:cs="Helvetica"/>
          <w:color w:val="666666"/>
          <w:szCs w:val="22"/>
          <w:lang w:eastAsia="nl-BE"/>
        </w:rPr>
        <w:t xml:space="preserve"> </w:t>
      </w:r>
      <w:r>
        <w:rPr>
          <w:rFonts w:cs="Helvetica"/>
          <w:noProof/>
          <w:color w:val="666666"/>
          <w:szCs w:val="22"/>
          <w:lang w:eastAsia="en-GB"/>
        </w:rPr>
        <w:drawing>
          <wp:inline distT="0" distB="0" distL="0" distR="0">
            <wp:extent cx="3248025" cy="1977059"/>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eni.com/img/enicom/innovation/technology-platforms/innovaz_piatt_green_46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50401" cy="1978505"/>
                    </a:xfrm>
                    <a:prstGeom prst="rect">
                      <a:avLst/>
                    </a:prstGeom>
                    <a:noFill/>
                    <a:ln>
                      <a:noFill/>
                    </a:ln>
                  </pic:spPr>
                </pic:pic>
              </a:graphicData>
            </a:graphic>
          </wp:inline>
        </w:drawing>
      </w:r>
    </w:p>
    <w:p w:rsidR="006E1BDE" w:rsidRDefault="00244DD3">
      <w:pPr>
        <w:rPr>
          <w:szCs w:val="22"/>
          <w:lang w:eastAsia="sv-SE"/>
        </w:rPr>
      </w:pPr>
      <w:r>
        <w:rPr>
          <w:szCs w:val="22"/>
          <w:lang w:eastAsia="sv-SE"/>
        </w:rPr>
        <w:t xml:space="preserve">The most recent EU investment in stand-alone HVO facility is the </w:t>
      </w:r>
      <w:r>
        <w:rPr>
          <w:b/>
          <w:szCs w:val="22"/>
          <w:lang w:eastAsia="sv-SE"/>
        </w:rPr>
        <w:t>UPM Lappeenranta</w:t>
      </w:r>
      <w:r>
        <w:rPr>
          <w:rStyle w:val="FootnoteReference"/>
          <w:szCs w:val="22"/>
          <w:lang w:eastAsia="sv-SE"/>
        </w:rPr>
        <w:footnoteReference w:id="147"/>
      </w:r>
      <w:r>
        <w:rPr>
          <w:szCs w:val="22"/>
          <w:lang w:eastAsia="sv-SE"/>
        </w:rPr>
        <w:t xml:space="preserve"> biorefinery converting crude tall oil (a by-product of the pulp and paper industry) into HVO. The biorefinery, located on the same site as the UPM Kaukas pulp and paper mill</w:t>
      </w:r>
      <w:r>
        <w:rPr>
          <w:szCs w:val="22"/>
          <w:lang w:eastAsia="sv-SE"/>
        </w:rPr>
        <w:t xml:space="preserve"> where it took advantage of integrating the biorefinery into the mill. The key hydro-treatment technology is provided by Haldor Topsoe. As part of the project, Haldor Topsoe</w:t>
      </w:r>
      <w:r>
        <w:rPr>
          <w:rStyle w:val="FootnoteReference"/>
          <w:szCs w:val="22"/>
          <w:lang w:eastAsia="sv-SE"/>
        </w:rPr>
        <w:footnoteReference w:id="148"/>
      </w:r>
      <w:r>
        <w:rPr>
          <w:szCs w:val="22"/>
          <w:lang w:eastAsia="sv-SE"/>
        </w:rPr>
        <w:t xml:space="preserve"> has supplied the process design and license for the renewable fuel hydrotreating </w:t>
      </w:r>
      <w:r>
        <w:rPr>
          <w:szCs w:val="22"/>
          <w:lang w:eastAsia="sv-SE"/>
        </w:rPr>
        <w:t>process (HydroFlex™), design of the amine regeneration unit, all the hydroprocessing reactor internals and catalysts as well as supervision and training services.</w:t>
      </w:r>
    </w:p>
    <w:p w:rsidR="006E1BDE" w:rsidRDefault="00244DD3">
      <w:pPr>
        <w:pStyle w:val="Caption"/>
        <w:rPr>
          <w:szCs w:val="22"/>
        </w:rPr>
      </w:pPr>
      <w:r>
        <w:rPr>
          <w:szCs w:val="22"/>
        </w:rPr>
        <w:t>Figure 17: UPM’s Biorefinery, Lappeenranta, Finland</w:t>
      </w:r>
    </w:p>
    <w:p w:rsidR="006E1BDE" w:rsidRDefault="00244DD3">
      <w:pPr>
        <w:jc w:val="center"/>
        <w:rPr>
          <w:szCs w:val="22"/>
          <w:lang w:eastAsia="sv-SE"/>
        </w:rPr>
      </w:pPr>
      <w:r>
        <w:rPr>
          <w:noProof/>
          <w:szCs w:val="22"/>
          <w:lang w:eastAsia="en-GB"/>
        </w:rPr>
        <w:drawing>
          <wp:inline distT="0" distB="0" distL="0" distR="0">
            <wp:extent cx="3371870" cy="24669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76643" cy="2470467"/>
                    </a:xfrm>
                    <a:prstGeom prst="rect">
                      <a:avLst/>
                    </a:prstGeom>
                    <a:noFill/>
                    <a:ln>
                      <a:noFill/>
                    </a:ln>
                  </pic:spPr>
                </pic:pic>
              </a:graphicData>
            </a:graphic>
          </wp:inline>
        </w:drawing>
      </w:r>
    </w:p>
    <w:p w:rsidR="006E1BDE" w:rsidRDefault="00244DD3">
      <w:pPr>
        <w:rPr>
          <w:szCs w:val="22"/>
          <w:lang w:eastAsia="sv-SE"/>
        </w:rPr>
      </w:pPr>
      <w:r>
        <w:rPr>
          <w:b/>
          <w:szCs w:val="22"/>
          <w:lang w:eastAsia="sv-SE"/>
        </w:rPr>
        <w:t xml:space="preserve">TOTAL </w:t>
      </w:r>
      <w:r>
        <w:rPr>
          <w:szCs w:val="22"/>
          <w:lang w:eastAsia="sv-SE"/>
        </w:rPr>
        <w:t>is revamping its</w:t>
      </w:r>
      <w:r>
        <w:rPr>
          <w:b/>
          <w:szCs w:val="22"/>
          <w:lang w:eastAsia="sv-SE"/>
        </w:rPr>
        <w:t xml:space="preserve"> Le Mede refinery</w:t>
      </w:r>
      <w:r>
        <w:rPr>
          <w:szCs w:val="22"/>
          <w:lang w:eastAsia="sv-SE"/>
        </w:rPr>
        <w:t xml:space="preserve"> with an investment of €200 million to produce 500,000-ton-per-year HVO</w:t>
      </w:r>
      <w:r>
        <w:rPr>
          <w:rStyle w:val="FootnoteReference"/>
          <w:szCs w:val="22"/>
          <w:lang w:eastAsia="sv-SE"/>
        </w:rPr>
        <w:footnoteReference w:id="149"/>
      </w:r>
      <w:r>
        <w:rPr>
          <w:szCs w:val="22"/>
          <w:lang w:eastAsia="sv-SE"/>
        </w:rPr>
        <w:t>. The HVO process selected by Total is a French technology developed by Axens</w:t>
      </w:r>
      <w:r>
        <w:rPr>
          <w:rStyle w:val="FootnoteReference"/>
          <w:szCs w:val="22"/>
          <w:lang w:eastAsia="sv-SE"/>
        </w:rPr>
        <w:footnoteReference w:id="150"/>
      </w:r>
      <w:r>
        <w:rPr>
          <w:szCs w:val="22"/>
          <w:lang w:eastAsia="sv-SE"/>
        </w:rPr>
        <w:t xml:space="preserve"> that produces high-quality fuel. The integration allows TOTAL to operate certain existing refining units </w:t>
      </w:r>
      <w:r>
        <w:rPr>
          <w:szCs w:val="22"/>
          <w:lang w:eastAsia="sv-SE"/>
        </w:rPr>
        <w:t>(naphtha reformer) to produce the hydrogen needed for the HVO process.</w:t>
      </w:r>
    </w:p>
    <w:p w:rsidR="006E1BDE" w:rsidRDefault="00244DD3">
      <w:pPr>
        <w:pStyle w:val="Heading3"/>
        <w:rPr>
          <w:szCs w:val="22"/>
        </w:rPr>
      </w:pPr>
      <w:bookmarkStart w:id="72" w:name="_Toc516598389"/>
      <w:r>
        <w:rPr>
          <w:szCs w:val="22"/>
        </w:rPr>
        <w:t>Hydrotreated Vegetable Oils (HVO) in India</w:t>
      </w:r>
      <w:bookmarkEnd w:id="72"/>
    </w:p>
    <w:p w:rsidR="006E1BDE" w:rsidRDefault="00244DD3">
      <w:pPr>
        <w:rPr>
          <w:szCs w:val="22"/>
          <w:lang w:eastAsia="sv-SE"/>
        </w:rPr>
      </w:pPr>
      <w:r>
        <w:rPr>
          <w:szCs w:val="22"/>
          <w:lang w:eastAsia="sv-SE"/>
        </w:rPr>
        <w:t xml:space="preserve">There is no dedicated HVO plant in India however </w:t>
      </w:r>
      <w:r>
        <w:rPr>
          <w:b/>
          <w:szCs w:val="22"/>
          <w:lang w:eastAsia="sv-SE"/>
        </w:rPr>
        <w:t>Indian Oil Corporation</w:t>
      </w:r>
      <w:r>
        <w:rPr>
          <w:rStyle w:val="FootnoteReference"/>
          <w:szCs w:val="22"/>
          <w:lang w:eastAsia="sv-SE"/>
        </w:rPr>
        <w:footnoteReference w:id="151"/>
      </w:r>
      <w:r>
        <w:rPr>
          <w:szCs w:val="22"/>
          <w:lang w:eastAsia="sv-SE"/>
        </w:rPr>
        <w:t xml:space="preserve"> Technology has been examining the co-processing of non-edible oils in</w:t>
      </w:r>
      <w:r>
        <w:rPr>
          <w:szCs w:val="22"/>
          <w:lang w:eastAsia="sv-SE"/>
        </w:rPr>
        <w:t xml:space="preserve"> petroleum refinery. In this technology it is not necessary to set up a new green field processing unit but requires only minor modification in the existing petroleum processing plant. Indian Oil Corporation Ltd (R&amp;D Centre) has developed a technology for </w:t>
      </w:r>
      <w:r>
        <w:rPr>
          <w:szCs w:val="22"/>
          <w:lang w:eastAsia="sv-SE"/>
        </w:rPr>
        <w:t>co-processing of non-edible oils in Diesel Hydrodesulfurization/ Diesel Hydrotreating (DHDS/DHDT) units of the refinery. In this process de-gummed and de-metalled non-edible oil is mixed with diesel feed and fed into the DHDS/DHDT reactor along with recycl</w:t>
      </w:r>
      <w:r>
        <w:rPr>
          <w:szCs w:val="22"/>
          <w:lang w:eastAsia="sv-SE"/>
        </w:rPr>
        <w:t>ed hydrogen. In the reactor, vegetable oil is converted to paraffins/ isoparaffins, water, CO, CO2 and trace quantity of light gases. The diesel product with co-processing has advantages mainly in terms of better quality product with higher cetane, good ox</w:t>
      </w:r>
      <w:r>
        <w:rPr>
          <w:szCs w:val="22"/>
          <w:lang w:eastAsia="sv-SE"/>
        </w:rPr>
        <w:t>idation stability and lower density. Indian Oil R&amp;D has developed a demetallation process for the same and filed patent in India, USA and Europe. The salient features of this technology include utilization of existing refinery infrastructure with minor mod</w:t>
      </w:r>
      <w:r>
        <w:rPr>
          <w:szCs w:val="22"/>
          <w:lang w:eastAsia="sv-SE"/>
        </w:rPr>
        <w:t>ifications. The trial run of the technology was successfully carried out on a commercial scale in April, 2013 at the DHDT unit of Manali Refinery</w:t>
      </w:r>
      <w:r>
        <w:rPr>
          <w:rStyle w:val="FootnoteReference"/>
          <w:szCs w:val="22"/>
          <w:lang w:eastAsia="sv-SE"/>
        </w:rPr>
        <w:footnoteReference w:id="152"/>
      </w:r>
      <w:r>
        <w:rPr>
          <w:szCs w:val="22"/>
          <w:lang w:eastAsia="sv-SE"/>
        </w:rPr>
        <w:t xml:space="preserve"> of Chennai Petroleum Corporation Ltd</w:t>
      </w:r>
      <w:r>
        <w:rPr>
          <w:rStyle w:val="FootnoteReference"/>
          <w:szCs w:val="22"/>
          <w:lang w:eastAsia="sv-SE"/>
        </w:rPr>
        <w:footnoteReference w:id="153"/>
      </w:r>
      <w:r>
        <w:rPr>
          <w:szCs w:val="22"/>
          <w:lang w:eastAsia="sv-SE"/>
        </w:rPr>
        <w:t xml:space="preserve"> with 6.5% of Jatropha oil with diesel feed.</w:t>
      </w:r>
    </w:p>
    <w:p w:rsidR="006E1BDE" w:rsidRDefault="00244DD3">
      <w:pPr>
        <w:pStyle w:val="Caption"/>
        <w:rPr>
          <w:szCs w:val="22"/>
        </w:rPr>
      </w:pPr>
      <w:r>
        <w:rPr>
          <w:szCs w:val="22"/>
        </w:rPr>
        <w:t xml:space="preserve">Table 10: Co-processing of </w:t>
      </w:r>
      <w:r>
        <w:rPr>
          <w:szCs w:val="22"/>
        </w:rPr>
        <w:t>oils in a petroleum refinery</w:t>
      </w:r>
    </w:p>
    <w:tbl>
      <w:tblPr>
        <w:tblStyle w:val="GridTable5Dark-Accent11"/>
        <w:tblW w:w="0" w:type="auto"/>
        <w:tblLook w:val="04A0" w:firstRow="1" w:lastRow="0" w:firstColumn="1" w:lastColumn="0" w:noHBand="0" w:noVBand="1"/>
      </w:tblPr>
      <w:tblGrid>
        <w:gridCol w:w="421"/>
        <w:gridCol w:w="2136"/>
        <w:gridCol w:w="1802"/>
        <w:gridCol w:w="1960"/>
        <w:gridCol w:w="1408"/>
        <w:gridCol w:w="57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Technology Developer/Plant</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Production Capacity</w:t>
            </w:r>
          </w:p>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MW</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Indian Oil Coorporation</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Manali Refinery, India</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6.5% Jatropha oil with diesel feed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8</w:t>
            </w:r>
          </w:p>
        </w:tc>
      </w:tr>
    </w:tbl>
    <w:p w:rsidR="006E1BDE" w:rsidRDefault="006E1BDE">
      <w:pPr>
        <w:rPr>
          <w:szCs w:val="22"/>
        </w:rPr>
      </w:pPr>
    </w:p>
    <w:p w:rsidR="006E1BDE" w:rsidRDefault="00244DD3">
      <w:pPr>
        <w:pStyle w:val="Caption"/>
        <w:rPr>
          <w:szCs w:val="22"/>
        </w:rPr>
      </w:pPr>
      <w:r>
        <w:rPr>
          <w:szCs w:val="22"/>
        </w:rPr>
        <w:t>Figure 18: The Manali Refinery</w:t>
      </w:r>
    </w:p>
    <w:p w:rsidR="006E1BDE" w:rsidRDefault="00244DD3">
      <w:pPr>
        <w:jc w:val="center"/>
        <w:rPr>
          <w:szCs w:val="22"/>
          <w:u w:val="single"/>
          <w:lang w:eastAsia="sv-SE"/>
        </w:rPr>
      </w:pPr>
      <w:r>
        <w:rPr>
          <w:noProof/>
          <w:szCs w:val="22"/>
          <w:lang w:eastAsia="en-GB"/>
        </w:rPr>
        <w:drawing>
          <wp:inline distT="0" distB="0" distL="0" distR="0">
            <wp:extent cx="3269555" cy="1980000"/>
            <wp:effectExtent l="0" t="0" r="7620" b="1270"/>
            <wp:docPr id="4104" name="Pictur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15555" b="3698"/>
                    <a:stretch/>
                  </pic:blipFill>
                  <pic:spPr bwMode="auto">
                    <a:xfrm>
                      <a:off x="0" y="0"/>
                      <a:ext cx="3274957" cy="1983271"/>
                    </a:xfrm>
                    <a:prstGeom prst="rect">
                      <a:avLst/>
                    </a:prstGeom>
                    <a:ln>
                      <a:noFill/>
                    </a:ln>
                    <a:extLst>
                      <a:ext uri="{53640926-AAD7-44d8-BBD7-CCE9431645EC}">
                        <a14:shadowObscured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
                      </a:ext>
                    </a:extLst>
                  </pic:spPr>
                </pic:pic>
              </a:graphicData>
            </a:graphic>
          </wp:inline>
        </w:drawing>
      </w:r>
    </w:p>
    <w:p w:rsidR="006E1BDE" w:rsidRDefault="00244DD3">
      <w:pPr>
        <w:pStyle w:val="Heading2"/>
      </w:pPr>
      <w:bookmarkStart w:id="73" w:name="_Toc516598390"/>
      <w:r>
        <w:t>Biological conversion</w:t>
      </w:r>
      <w:bookmarkEnd w:id="73"/>
    </w:p>
    <w:p w:rsidR="006E1BDE" w:rsidRDefault="00244DD3">
      <w:pPr>
        <w:pStyle w:val="Heading3"/>
        <w:rPr>
          <w:szCs w:val="22"/>
        </w:rPr>
      </w:pPr>
      <w:bookmarkStart w:id="74" w:name="_Toc516598391"/>
      <w:r>
        <w:rPr>
          <w:szCs w:val="22"/>
        </w:rPr>
        <w:t>Introduction</w:t>
      </w:r>
      <w:bookmarkEnd w:id="74"/>
    </w:p>
    <w:p w:rsidR="006E1BDE" w:rsidRDefault="00244DD3">
      <w:pPr>
        <w:rPr>
          <w:szCs w:val="22"/>
          <w:lang w:eastAsia="sv-SE"/>
        </w:rPr>
      </w:pPr>
      <w:r>
        <w:rPr>
          <w:szCs w:val="22"/>
          <w:lang w:eastAsia="sv-SE"/>
        </w:rPr>
        <w:t>The key biological conversion process routes for advanced biofuels is the production of cellulosic ethanol and biomethane via upgrading biogas produced from anaerobic digestion. A recent development is fermentation of syn</w:t>
      </w:r>
      <w:r>
        <w:rPr>
          <w:szCs w:val="22"/>
          <w:lang w:eastAsia="sv-SE"/>
        </w:rPr>
        <w:t>thesis gas produced from thermal gasification. In this process the synthesis gas is cooled and then is fed to bacteria which convert it to ethanol. However, since there is no major technology developer on this value chain in the EU this technology will not</w:t>
      </w:r>
      <w:r>
        <w:rPr>
          <w:szCs w:val="22"/>
          <w:lang w:eastAsia="sv-SE"/>
        </w:rPr>
        <w:t xml:space="preserve"> be described any further.</w:t>
      </w:r>
    </w:p>
    <w:p w:rsidR="006E1BDE" w:rsidRDefault="00244DD3">
      <w:pPr>
        <w:rPr>
          <w:szCs w:val="22"/>
          <w:lang w:eastAsia="sv-SE"/>
        </w:rPr>
      </w:pPr>
      <w:r>
        <w:rPr>
          <w:szCs w:val="22"/>
          <w:lang w:eastAsia="sv-SE"/>
        </w:rPr>
        <w:t>In order to produce ethanol from biomass it is necessary to first extract the sugars with enzymes (saccharification) and then ferment them with yeasts to ethanol. However, the first step is always a severe pre-treatment step to o</w:t>
      </w:r>
      <w:r>
        <w:rPr>
          <w:szCs w:val="22"/>
          <w:lang w:eastAsia="sv-SE"/>
        </w:rPr>
        <w:t>pen the structure of biomass so that the enzymes can reach the cellulose and hemicellulose components of biomass so that these can be hydrolysed to sugars before the fermentation step can proceed. Carbohydrates such as starch also require hydrolysis. The s</w:t>
      </w:r>
      <w:r>
        <w:rPr>
          <w:szCs w:val="22"/>
          <w:lang w:eastAsia="sv-SE"/>
        </w:rPr>
        <w:t xml:space="preserve">accharification step and the fermentation step can be performed separately, Separate Hydrolysis and Fermentation (SHF) or combined into one step, Simultaneous Saccharification and Fermentation (SSF). Integrated processes like the SSF since they take place </w:t>
      </w:r>
      <w:r>
        <w:rPr>
          <w:szCs w:val="22"/>
          <w:lang w:eastAsia="sv-SE"/>
        </w:rPr>
        <w:t xml:space="preserve">simultaneously in one step reduce costs and improve overall efficiency. Fermentation is particularly suitable for materials with high moisture content, as drying is not required. Ethanol can be readily converted to ETBE (ethyl tertiary butyl ether), which </w:t>
      </w:r>
      <w:r>
        <w:rPr>
          <w:szCs w:val="22"/>
          <w:lang w:eastAsia="sv-SE"/>
        </w:rPr>
        <w:t>can be directly used as a gasoline additive. The fermentation technology is already commercial. Figure 19</w:t>
      </w:r>
      <w:r>
        <w:rPr>
          <w:rStyle w:val="FootnoteReference"/>
          <w:szCs w:val="22"/>
          <w:lang w:eastAsia="sv-SE"/>
        </w:rPr>
        <w:footnoteReference w:id="154"/>
      </w:r>
      <w:r>
        <w:rPr>
          <w:szCs w:val="22"/>
          <w:lang w:eastAsia="sv-SE"/>
        </w:rPr>
        <w:t xml:space="preserve"> shows the main biological process value chains.</w:t>
      </w:r>
    </w:p>
    <w:p w:rsidR="006E1BDE" w:rsidRDefault="00244DD3">
      <w:pPr>
        <w:pStyle w:val="Caption"/>
        <w:rPr>
          <w:szCs w:val="22"/>
        </w:rPr>
      </w:pPr>
      <w:r>
        <w:rPr>
          <w:szCs w:val="22"/>
        </w:rPr>
        <w:t>Figure 19: Biological Conversion pathways</w:t>
      </w:r>
    </w:p>
    <w:p w:rsidR="006E1BDE" w:rsidRDefault="00244DD3">
      <w:pPr>
        <w:jc w:val="center"/>
        <w:rPr>
          <w:szCs w:val="22"/>
          <w:lang w:eastAsia="sv-SE"/>
        </w:rPr>
      </w:pPr>
      <w:r>
        <w:rPr>
          <w:noProof/>
          <w:szCs w:val="22"/>
          <w:lang w:eastAsia="en-GB"/>
        </w:rPr>
        <w:drawing>
          <wp:inline distT="0" distB="0" distL="0" distR="0">
            <wp:extent cx="3864354" cy="2507230"/>
            <wp:effectExtent l="0" t="0" r="3175" b="762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Users\IngvarL\Documents\PrintScreen Files\GaYa002.bmp"/>
                    <pic:cNvPicPr>
                      <a:picLocks noChangeAspect="1" noChangeArrowheads="1"/>
                    </pic:cNvPicPr>
                  </pic:nvPicPr>
                  <pic:blipFill>
                    <a:blip r:embed="rId34" cstate="print"/>
                    <a:srcRect/>
                    <a:stretch>
                      <a:fillRect/>
                    </a:stretch>
                  </pic:blipFill>
                  <pic:spPr bwMode="auto">
                    <a:xfrm>
                      <a:off x="0" y="0"/>
                      <a:ext cx="3868997" cy="2510242"/>
                    </a:xfrm>
                    <a:prstGeom prst="rect">
                      <a:avLst/>
                    </a:prstGeom>
                    <a:noFill/>
                  </pic:spPr>
                </pic:pic>
              </a:graphicData>
            </a:graphic>
          </wp:inline>
        </w:drawing>
      </w:r>
    </w:p>
    <w:p w:rsidR="006E1BDE" w:rsidRDefault="00244DD3">
      <w:pPr>
        <w:rPr>
          <w:szCs w:val="22"/>
          <w:lang w:eastAsia="sv-SE"/>
        </w:rPr>
      </w:pPr>
      <w:r>
        <w:rPr>
          <w:szCs w:val="22"/>
          <w:lang w:eastAsia="sv-SE"/>
        </w:rPr>
        <w:t>The composition of biomass differs from one species to an</w:t>
      </w:r>
      <w:r>
        <w:rPr>
          <w:szCs w:val="22"/>
          <w:lang w:eastAsia="sv-SE"/>
        </w:rPr>
        <w:t>other; however, the main constituents are very similar. Biomass consists for about 50–60% carbohydrates in the form of cellulose and hemicellulose and about 20–35% lignin. The lignin cannot be converted into valuable products by microorganisms and it is ei</w:t>
      </w:r>
      <w:r>
        <w:rPr>
          <w:szCs w:val="22"/>
          <w:lang w:eastAsia="sv-SE"/>
        </w:rPr>
        <w:t>ther burned for process heat, particularly for ethanol concentration, for power applications where the feed-in tariffs are high or used in lignin chemistry to produce chemicals.</w:t>
      </w:r>
    </w:p>
    <w:p w:rsidR="006E1BDE" w:rsidRDefault="00244DD3">
      <w:pPr>
        <w:rPr>
          <w:szCs w:val="22"/>
          <w:lang w:eastAsia="sv-SE"/>
        </w:rPr>
      </w:pPr>
      <w:r>
        <w:rPr>
          <w:szCs w:val="22"/>
          <w:lang w:eastAsia="sv-SE"/>
        </w:rPr>
        <w:t>Several pre-treatment methods have been developed and major research efforts h</w:t>
      </w:r>
      <w:r>
        <w:rPr>
          <w:szCs w:val="22"/>
          <w:lang w:eastAsia="sv-SE"/>
        </w:rPr>
        <w:t xml:space="preserve">ave been spent to find efficient and fast pre-treatment methods, which render a structure that is easy to hydrolyze by using various enzymes. Common for all of them is the requirement to yield a material, which can be processed further downstream to yield </w:t>
      </w:r>
      <w:r>
        <w:rPr>
          <w:szCs w:val="22"/>
          <w:lang w:eastAsia="sv-SE"/>
        </w:rPr>
        <w:t>ethanol in high yield.</w:t>
      </w:r>
    </w:p>
    <w:p w:rsidR="006E1BDE" w:rsidRDefault="00244DD3">
      <w:pPr>
        <w:rPr>
          <w:szCs w:val="22"/>
          <w:lang w:eastAsia="sv-SE"/>
        </w:rPr>
      </w:pPr>
      <w:r>
        <w:rPr>
          <w:szCs w:val="22"/>
          <w:lang w:eastAsia="sv-SE"/>
        </w:rPr>
        <w:t>Significant innovation has taken place the last decades in developing bioengineered, including genetically modified, microorganisms for the fermentation of the C6 sugars. Most commonly traditional yeasts are bioengineered to derive t</w:t>
      </w:r>
      <w:r>
        <w:rPr>
          <w:szCs w:val="22"/>
          <w:lang w:eastAsia="sv-SE"/>
        </w:rPr>
        <w:t>he desired microorganism that can be active for the particular sugars from biomass. Also for the fermentation of C5 sugars significant progress has been achieved the last years with genetically modified.</w:t>
      </w:r>
    </w:p>
    <w:p w:rsidR="006E1BDE" w:rsidRDefault="00244DD3">
      <w:pPr>
        <w:pStyle w:val="Heading3"/>
        <w:rPr>
          <w:szCs w:val="22"/>
        </w:rPr>
      </w:pPr>
      <w:bookmarkStart w:id="75" w:name="_Toc516598392"/>
      <w:r>
        <w:rPr>
          <w:szCs w:val="22"/>
        </w:rPr>
        <w:t>Cellulosic alcohols in the EU</w:t>
      </w:r>
      <w:bookmarkEnd w:id="75"/>
    </w:p>
    <w:p w:rsidR="006E1BDE" w:rsidRDefault="00244DD3">
      <w:pPr>
        <w:rPr>
          <w:lang w:eastAsia="sv-SE"/>
        </w:rPr>
      </w:pPr>
      <w:r>
        <w:rPr>
          <w:lang w:eastAsia="sv-SE"/>
        </w:rPr>
        <w:t>Cellulosic ethanol has</w:t>
      </w:r>
      <w:r>
        <w:rPr>
          <w:lang w:eastAsia="sv-SE"/>
        </w:rPr>
        <w:t xml:space="preserve"> been successfully developed in the EU with main research and innovation </w:t>
      </w:r>
      <w:r>
        <w:rPr>
          <w:szCs w:val="22"/>
          <w:lang w:eastAsia="sv-SE"/>
        </w:rPr>
        <w:t>emphasis</w:t>
      </w:r>
      <w:r>
        <w:rPr>
          <w:lang w:eastAsia="sv-SE"/>
        </w:rPr>
        <w:t xml:space="preserve"> on the development of enzymes and yeasts which are the key components in converting biomass into liquid fuels. This value chain is ready for commercialisation and several dem</w:t>
      </w:r>
      <w:r>
        <w:rPr>
          <w:lang w:eastAsia="sv-SE"/>
        </w:rPr>
        <w:t>onstration plants being built while few commercial plants are being planned for construction.</w:t>
      </w:r>
    </w:p>
    <w:p w:rsidR="006E1BDE" w:rsidRDefault="00244DD3">
      <w:pPr>
        <w:rPr>
          <w:szCs w:val="22"/>
          <w:lang w:eastAsia="sv-SE"/>
        </w:rPr>
      </w:pPr>
      <w:r>
        <w:rPr>
          <w:szCs w:val="22"/>
          <w:lang w:eastAsia="sv-SE"/>
        </w:rPr>
        <w:t>The technology of cellulosic ethanol and especially the developments of enzymes and yeast has progressed significantly in the EU and the main enzyme and yeasts pr</w:t>
      </w:r>
      <w:r>
        <w:rPr>
          <w:szCs w:val="22"/>
          <w:lang w:eastAsia="sv-SE"/>
        </w:rPr>
        <w:t xml:space="preserve">oviders are EU based. However, some of the investments have taken place in the USA from EU technology providers due to the more stable legislation and attractive financial packages in the USA than those of the EU. Therefore, the discussion will also cover </w:t>
      </w:r>
      <w:r>
        <w:rPr>
          <w:szCs w:val="22"/>
          <w:lang w:eastAsia="sv-SE"/>
        </w:rPr>
        <w:t>the plants built in the USA by EU technology providers.</w:t>
      </w:r>
      <w:r>
        <w:rPr>
          <w:szCs w:val="22"/>
        </w:rPr>
        <w:t xml:space="preserve"> </w:t>
      </w:r>
      <w:r>
        <w:rPr>
          <w:szCs w:val="22"/>
          <w:lang w:eastAsia="sv-SE"/>
        </w:rPr>
        <w:t xml:space="preserve">Figure 20 shows the main pathway to produce ethanol and higher alcohols via sugar extraction from biomass and fermentation. </w:t>
      </w:r>
    </w:p>
    <w:p w:rsidR="006E1BDE" w:rsidRDefault="00244DD3">
      <w:pPr>
        <w:pStyle w:val="Caption"/>
        <w:rPr>
          <w:szCs w:val="22"/>
        </w:rPr>
      </w:pPr>
      <w:r>
        <w:rPr>
          <w:szCs w:val="22"/>
        </w:rPr>
        <w:t>Figure 20: Ethanol, higher alcohols, industrial chemicals &amp; hydrocarbons vi</w:t>
      </w:r>
      <w:r>
        <w:rPr>
          <w:szCs w:val="22"/>
        </w:rPr>
        <w:t>a sugar extraction from biomass and fermentation</w:t>
      </w:r>
    </w:p>
    <w:p w:rsidR="006E1BDE" w:rsidRDefault="00244DD3">
      <w:pPr>
        <w:jc w:val="center"/>
        <w:rPr>
          <w:szCs w:val="22"/>
          <w:lang w:eastAsia="sv-SE"/>
        </w:rPr>
      </w:pPr>
      <w:r>
        <w:rPr>
          <w:noProof/>
          <w:szCs w:val="22"/>
          <w:lang w:eastAsia="en-GB"/>
        </w:rPr>
        <w:drawing>
          <wp:inline distT="0" distB="0" distL="0" distR="0">
            <wp:extent cx="5191125" cy="3648075"/>
            <wp:effectExtent l="0" t="0" r="9525" b="9525"/>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91125" cy="3648075"/>
                    </a:xfrm>
                    <a:prstGeom prst="rect">
                      <a:avLst/>
                    </a:prstGeom>
                    <a:noFill/>
                    <a:ln>
                      <a:noFill/>
                    </a:ln>
                  </pic:spPr>
                </pic:pic>
              </a:graphicData>
            </a:graphic>
          </wp:inline>
        </w:drawing>
      </w:r>
    </w:p>
    <w:p w:rsidR="006E1BDE" w:rsidRDefault="00244DD3">
      <w:pPr>
        <w:rPr>
          <w:szCs w:val="22"/>
          <w:lang w:eastAsia="sv-SE"/>
        </w:rPr>
      </w:pPr>
      <w:r>
        <w:rPr>
          <w:szCs w:val="22"/>
          <w:lang w:eastAsia="sv-SE"/>
        </w:rPr>
        <w:t>The technology providers and the corresponding plants they have built are shown in Table 11.</w:t>
      </w:r>
    </w:p>
    <w:p w:rsidR="006E1BDE" w:rsidRDefault="00244DD3">
      <w:pPr>
        <w:pStyle w:val="Caption"/>
        <w:rPr>
          <w:szCs w:val="22"/>
        </w:rPr>
      </w:pPr>
      <w:r>
        <w:rPr>
          <w:szCs w:val="22"/>
        </w:rPr>
        <w:t>Table 11: Technology Providers for Cellulosic Alcohols in the EU</w:t>
      </w:r>
    </w:p>
    <w:tbl>
      <w:tblPr>
        <w:tblStyle w:val="GridTable5Dark-Accent11"/>
        <w:tblW w:w="0" w:type="auto"/>
        <w:jc w:val="center"/>
        <w:tblLook w:val="04A0" w:firstRow="1" w:lastRow="0" w:firstColumn="1" w:lastColumn="0" w:noHBand="0" w:noVBand="1"/>
      </w:tblPr>
      <w:tblGrid>
        <w:gridCol w:w="425"/>
        <w:gridCol w:w="2005"/>
        <w:gridCol w:w="1976"/>
        <w:gridCol w:w="1746"/>
        <w:gridCol w:w="1576"/>
        <w:gridCol w:w="569"/>
      </w:tblGrid>
      <w:tr w:rsidR="006E1BDE" w:rsidTr="006E1BD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rPr>
                <w:b w:val="0"/>
              </w:rPr>
            </w:pPr>
            <w:r>
              <w:rPr>
                <w:b w:val="0"/>
              </w:rPr>
              <w:t>N°</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Technology Developer</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Plant/Location</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Producti</w:t>
            </w:r>
            <w:r>
              <w:rPr>
                <w:b w:val="0"/>
              </w:rPr>
              <w:t>on Capacity</w:t>
            </w:r>
          </w:p>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t/yr</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In operation since</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b w:val="0"/>
              </w:rPr>
            </w:pPr>
            <w:r>
              <w:rPr>
                <w:b w:val="0"/>
              </w:rPr>
              <w:t>TRL</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keepNext/>
              <w:jc w:val="center"/>
            </w:pPr>
            <w:r>
              <w:t>1</w:t>
            </w:r>
          </w:p>
        </w:tc>
        <w:tc>
          <w:tcPr>
            <w:tcW w:w="0" w:type="auto"/>
            <w:vMerge w:val="restart"/>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BIOCHEMTEX</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Crescentino, Italy</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40,000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2013</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jc w:val="center"/>
            </w:pPr>
          </w:p>
        </w:tc>
        <w:tc>
          <w:tcPr>
            <w:tcW w:w="0" w:type="auto"/>
            <w:vMerge/>
            <w:vAlign w:val="center"/>
          </w:tcPr>
          <w:p w:rsidR="006E1BDE" w:rsidRDefault="006E1BDE">
            <w:pPr>
              <w:keepNext/>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Undecided</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60,000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2020?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keepNext/>
              <w:jc w:val="center"/>
            </w:pPr>
            <w:r>
              <w:t>2</w:t>
            </w:r>
          </w:p>
        </w:tc>
        <w:tc>
          <w:tcPr>
            <w:tcW w:w="0" w:type="auto"/>
            <w:vMerge w:val="restart"/>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Abengoa</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Salamanca, Spain</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5,000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2010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pPr>
            <w:r>
              <w:t>8</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keepNext/>
              <w:jc w:val="center"/>
            </w:pPr>
          </w:p>
        </w:tc>
        <w:tc>
          <w:tcPr>
            <w:tcW w:w="0" w:type="auto"/>
            <w:vMerge/>
            <w:vAlign w:val="center"/>
          </w:tcPr>
          <w:p w:rsidR="006E1BDE" w:rsidRDefault="006E1BDE">
            <w:pPr>
              <w:keepNext/>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Hugoton, USA</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95,000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2014</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DSM/POET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LIBETRY,</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60,000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pPr>
            <w:r>
              <w:t>4</w:t>
            </w:r>
          </w:p>
        </w:tc>
        <w:tc>
          <w:tcPr>
            <w:tcW w:w="0" w:type="auto"/>
            <w:vMerge w:val="restart"/>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CLARIANT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Straubing, Germany</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900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2012</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8</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pPr>
          </w:p>
        </w:tc>
        <w:tc>
          <w:tcPr>
            <w:tcW w:w="0" w:type="auto"/>
            <w:vMerge/>
            <w:vAlign w:val="center"/>
          </w:tcPr>
          <w:p w:rsidR="006E1BDE" w:rsidRDefault="006E1BDE">
            <w:pPr>
              <w:jc w:val="center"/>
              <w:cnfStyle w:val="000000100000" w:firstRow="0" w:lastRow="0" w:firstColumn="0" w:lastColumn="0" w:oddVBand="0" w:evenVBand="0" w:oddHBand="1" w:evenHBand="0" w:firstRowFirstColumn="0" w:firstRowLastColumn="0" w:lastRowFirstColumn="0" w:lastRowLastColumn="0"/>
            </w:pP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Romania</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50,000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2019?</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6E1BDE">
            <w:pPr>
              <w:jc w:val="center"/>
            </w:pPr>
          </w:p>
        </w:tc>
        <w:tc>
          <w:tcPr>
            <w:tcW w:w="0" w:type="auto"/>
            <w:vMerge/>
            <w:vAlign w:val="center"/>
          </w:tcPr>
          <w:p w:rsidR="006E1BDE" w:rsidRDefault="006E1BDE">
            <w:pPr>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Slovakia</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50,000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2019?</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BORREGAARD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Sarpsborg, Norway</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80,000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2018</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6</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INBICON</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Kalundborg, Denmark</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20,000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8</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pPr>
            <w:r>
              <w:t>7</w:t>
            </w:r>
          </w:p>
        </w:tc>
        <w:tc>
          <w:tcPr>
            <w:tcW w:w="0" w:type="auto"/>
            <w:vMerge w:val="restart"/>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ST1, Cellunolix®</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Kajaani, Finland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7,200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2016</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8</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pPr>
          </w:p>
        </w:tc>
        <w:tc>
          <w:tcPr>
            <w:tcW w:w="0" w:type="auto"/>
            <w:vMerge/>
            <w:vAlign w:val="center"/>
          </w:tcPr>
          <w:p w:rsidR="006E1BDE" w:rsidRDefault="006E1BDE">
            <w:pPr>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Undecided, Finland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36,000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2020?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vMerge w:val="restart"/>
            <w:vAlign w:val="center"/>
          </w:tcPr>
          <w:p w:rsidR="006E1BDE" w:rsidRDefault="00244DD3">
            <w:pPr>
              <w:jc w:val="center"/>
            </w:pPr>
            <w:r>
              <w:t>8</w:t>
            </w:r>
          </w:p>
        </w:tc>
        <w:tc>
          <w:tcPr>
            <w:tcW w:w="0" w:type="auto"/>
            <w:vMerge w:val="restart"/>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IFP Futurol</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Pomacle, France</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75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5</w:t>
            </w:r>
          </w:p>
        </w:tc>
      </w:tr>
      <w:tr w:rsidR="006E1BDE" w:rsidTr="006E1BDE">
        <w:trPr>
          <w:jc w:val="center"/>
        </w:trPr>
        <w:tc>
          <w:tcPr>
            <w:cnfStyle w:val="001000000000" w:firstRow="0" w:lastRow="0" w:firstColumn="1" w:lastColumn="0" w:oddVBand="0" w:evenVBand="0" w:oddHBand="0" w:evenHBand="0" w:firstRowFirstColumn="0" w:firstRowLastColumn="0" w:lastRowFirstColumn="0" w:lastRowLastColumn="0"/>
            <w:tcW w:w="0" w:type="auto"/>
            <w:vMerge/>
            <w:vAlign w:val="center"/>
          </w:tcPr>
          <w:p w:rsidR="006E1BDE" w:rsidRDefault="006E1BDE">
            <w:pPr>
              <w:jc w:val="center"/>
            </w:pPr>
          </w:p>
        </w:tc>
        <w:tc>
          <w:tcPr>
            <w:tcW w:w="0" w:type="auto"/>
            <w:vMerge/>
            <w:vAlign w:val="center"/>
          </w:tcPr>
          <w:p w:rsidR="006E1BDE" w:rsidRDefault="006E1BDE">
            <w:pPr>
              <w:jc w:val="center"/>
              <w:cnfStyle w:val="000000000000" w:firstRow="0" w:lastRow="0" w:firstColumn="0" w:lastColumn="0" w:oddVBand="0" w:evenVBand="0" w:oddHBand="0" w:evenHBand="0" w:firstRowFirstColumn="0" w:firstRowLastColumn="0" w:lastRowFirstColumn="0" w:lastRowLastColumn="0"/>
            </w:pP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Bucy-le-Long, France</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7,500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2016</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8</w:t>
            </w:r>
          </w:p>
        </w:tc>
      </w:tr>
    </w:tbl>
    <w:p w:rsidR="006E1BDE" w:rsidRDefault="006E1BDE">
      <w:pPr>
        <w:rPr>
          <w:szCs w:val="22"/>
          <w:lang w:eastAsia="sv-SE"/>
        </w:rPr>
      </w:pPr>
    </w:p>
    <w:p w:rsidR="006E1BDE" w:rsidRDefault="00244DD3">
      <w:pPr>
        <w:rPr>
          <w:szCs w:val="22"/>
          <w:lang w:eastAsia="sv-SE"/>
        </w:rPr>
      </w:pPr>
      <w:r>
        <w:rPr>
          <w:b/>
          <w:szCs w:val="22"/>
        </w:rPr>
        <w:t>BetaRenewables</w:t>
      </w:r>
      <w:r>
        <w:rPr>
          <w:rStyle w:val="FootnoteReference"/>
          <w:szCs w:val="22"/>
        </w:rPr>
        <w:footnoteReference w:id="155"/>
      </w:r>
      <w:r>
        <w:rPr>
          <w:szCs w:val="22"/>
        </w:rPr>
        <w:t xml:space="preserve"> (a company in the Italian Mossi &amp; Ghisolfi Group</w:t>
      </w:r>
      <w:r>
        <w:rPr>
          <w:rStyle w:val="FootnoteReference"/>
          <w:szCs w:val="22"/>
        </w:rPr>
        <w:footnoteReference w:id="156"/>
      </w:r>
      <w:r>
        <w:rPr>
          <w:szCs w:val="22"/>
        </w:rPr>
        <w:t xml:space="preserve">) </w:t>
      </w:r>
      <w:r>
        <w:rPr>
          <w:szCs w:val="22"/>
          <w:lang w:eastAsia="sv-SE"/>
        </w:rPr>
        <w:t xml:space="preserve">was the first company to build a commercial plant at </w:t>
      </w:r>
      <w:r>
        <w:rPr>
          <w:b/>
          <w:szCs w:val="22"/>
          <w:lang w:eastAsia="sv-SE"/>
        </w:rPr>
        <w:t>Crescentino</w:t>
      </w:r>
      <w:r>
        <w:rPr>
          <w:szCs w:val="22"/>
          <w:lang w:eastAsia="sv-SE"/>
        </w:rPr>
        <w:t>, Italy. BetaRenewables has developed the PROESA technology</w:t>
      </w:r>
      <w:r>
        <w:rPr>
          <w:rStyle w:val="FootnoteReference"/>
          <w:szCs w:val="22"/>
          <w:lang w:eastAsia="sv-SE"/>
        </w:rPr>
        <w:footnoteReference w:id="157"/>
      </w:r>
      <w:r>
        <w:rPr>
          <w:szCs w:val="22"/>
          <w:lang w:eastAsia="sv-SE"/>
        </w:rPr>
        <w:t xml:space="preserve"> which utilizes heat treatment followed by enzymatic hydrolysis for pre-treatment of the feedstocks. The project was initially supported under the FP7 programme of the EU and later also got funding under the NER 300 programme of the EU. The plant produces </w:t>
      </w:r>
      <w:r>
        <w:rPr>
          <w:szCs w:val="22"/>
          <w:lang w:eastAsia="sv-SE"/>
        </w:rPr>
        <w:t>40,000 t/y of cellulosic ethanol and it has been in operation since 2013. In 2017 M&amp;G faced financial difficulties</w:t>
      </w:r>
      <w:r>
        <w:rPr>
          <w:rStyle w:val="FootnoteReference"/>
          <w:szCs w:val="22"/>
          <w:lang w:eastAsia="sv-SE"/>
        </w:rPr>
        <w:footnoteReference w:id="158"/>
      </w:r>
      <w:r>
        <w:rPr>
          <w:szCs w:val="22"/>
          <w:lang w:eastAsia="sv-SE"/>
        </w:rPr>
        <w:t xml:space="preserve"> and the Crescentino plant has been put for sale. The plant is managed by a dedicated company, Biochemtex.  Biochemtex  has two other contrac</w:t>
      </w:r>
      <w:r>
        <w:rPr>
          <w:szCs w:val="22"/>
          <w:lang w:eastAsia="sv-SE"/>
        </w:rPr>
        <w:t>ts under FP7  one COMETHA</w:t>
      </w:r>
      <w:r>
        <w:rPr>
          <w:rStyle w:val="FootnoteReference"/>
          <w:szCs w:val="22"/>
          <w:lang w:eastAsia="sv-SE"/>
        </w:rPr>
        <w:footnoteReference w:id="159"/>
      </w:r>
      <w:r>
        <w:rPr>
          <w:szCs w:val="22"/>
          <w:lang w:eastAsia="sv-SE"/>
        </w:rPr>
        <w:t xml:space="preserve"> to build a 60,000 t/a plant cellulosic ethanol and the other BIOREFLY</w:t>
      </w:r>
      <w:r>
        <w:rPr>
          <w:rStyle w:val="FootnoteReference"/>
          <w:szCs w:val="22"/>
          <w:lang w:eastAsia="sv-SE"/>
        </w:rPr>
        <w:footnoteReference w:id="160"/>
      </w:r>
      <w:r>
        <w:rPr>
          <w:szCs w:val="22"/>
          <w:lang w:eastAsia="sv-SE"/>
        </w:rPr>
        <w:t xml:space="preserve"> to build a large scale demonstration plant producing biokerosene from the lignin residue of the cellulosic ethanol process. At Crescentino the lignin is burne</w:t>
      </w:r>
      <w:r>
        <w:rPr>
          <w:szCs w:val="22"/>
          <w:lang w:eastAsia="sv-SE"/>
        </w:rPr>
        <w:t>d in a CHP facility to produce process heat and power for the plant while excess power is sold to the grid.</w:t>
      </w:r>
    </w:p>
    <w:p w:rsidR="006E1BDE" w:rsidRDefault="00244DD3">
      <w:pPr>
        <w:pStyle w:val="Caption"/>
        <w:rPr>
          <w:szCs w:val="22"/>
        </w:rPr>
      </w:pPr>
      <w:r>
        <w:rPr>
          <w:szCs w:val="22"/>
        </w:rPr>
        <w:t>Figure 21: The BetaRenewables plant in Crescentino, Italy</w:t>
      </w:r>
    </w:p>
    <w:p w:rsidR="006E1BDE" w:rsidRDefault="00244DD3">
      <w:pPr>
        <w:jc w:val="center"/>
        <w:rPr>
          <w:szCs w:val="22"/>
          <w:lang w:eastAsia="sv-SE"/>
        </w:rPr>
      </w:pPr>
      <w:r>
        <w:rPr>
          <w:noProof/>
          <w:szCs w:val="22"/>
          <w:lang w:eastAsia="en-GB"/>
        </w:rPr>
        <w:drawing>
          <wp:inline distT="0" distB="0" distL="0" distR="0">
            <wp:extent cx="3321476" cy="2128224"/>
            <wp:effectExtent l="0" t="0" r="0" b="5715"/>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324446" cy="2130127"/>
                    </a:xfrm>
                    <a:prstGeom prst="rect">
                      <a:avLst/>
                    </a:prstGeom>
                    <a:noFill/>
                    <a:ln>
                      <a:noFill/>
                    </a:ln>
                  </pic:spPr>
                </pic:pic>
              </a:graphicData>
            </a:graphic>
          </wp:inline>
        </w:drawing>
      </w:r>
    </w:p>
    <w:p w:rsidR="006E1BDE" w:rsidRDefault="00244DD3">
      <w:pPr>
        <w:rPr>
          <w:szCs w:val="22"/>
          <w:lang w:eastAsia="sv-SE"/>
        </w:rPr>
      </w:pPr>
      <w:r>
        <w:rPr>
          <w:b/>
          <w:szCs w:val="22"/>
          <w:lang w:eastAsia="sv-SE"/>
        </w:rPr>
        <w:t>Abengoa</w:t>
      </w:r>
      <w:r>
        <w:rPr>
          <w:rStyle w:val="FootnoteReference"/>
          <w:szCs w:val="22"/>
          <w:lang w:eastAsia="sv-SE"/>
        </w:rPr>
        <w:footnoteReference w:id="161"/>
      </w:r>
      <w:r>
        <w:rPr>
          <w:szCs w:val="22"/>
          <w:lang w:eastAsia="sv-SE"/>
        </w:rPr>
        <w:t xml:space="preserve"> was one of the first companies to build a large scale demonstration plant in </w:t>
      </w:r>
      <w:r>
        <w:rPr>
          <w:b/>
          <w:szCs w:val="22"/>
          <w:lang w:eastAsia="sv-SE"/>
        </w:rPr>
        <w:t>Ba</w:t>
      </w:r>
      <w:r>
        <w:rPr>
          <w:b/>
          <w:szCs w:val="22"/>
          <w:lang w:eastAsia="sv-SE"/>
        </w:rPr>
        <w:t>bilafuente</w:t>
      </w:r>
      <w:r>
        <w:rPr>
          <w:szCs w:val="22"/>
          <w:lang w:eastAsia="sv-SE"/>
        </w:rPr>
        <w:t>, Salamanca, Spain to produce ethanol from cellulosic agricultural residues and later to modify the plant to operate with onsite shorted municipal waste</w:t>
      </w:r>
      <w:r>
        <w:rPr>
          <w:rStyle w:val="FootnoteReference"/>
          <w:szCs w:val="22"/>
          <w:lang w:eastAsia="sv-SE"/>
        </w:rPr>
        <w:footnoteReference w:id="162"/>
      </w:r>
      <w:r>
        <w:rPr>
          <w:szCs w:val="22"/>
          <w:lang w:eastAsia="sv-SE"/>
        </w:rPr>
        <w:t>. Both projects were supported under FP6 and FP7. The demonstration plant, uses waste-to-biof</w:t>
      </w:r>
      <w:r>
        <w:rPr>
          <w:szCs w:val="22"/>
          <w:lang w:eastAsia="sv-SE"/>
        </w:rPr>
        <w:t>uels technology developed by Abengoa to produce second-generation biofuels from MSW using a fermentation and enzymatic hydrolysis treatment.</w:t>
      </w:r>
    </w:p>
    <w:p w:rsidR="006E1BDE" w:rsidRDefault="00244DD3">
      <w:pPr>
        <w:rPr>
          <w:szCs w:val="22"/>
          <w:lang w:eastAsia="sv-SE"/>
        </w:rPr>
      </w:pPr>
      <w:r>
        <w:rPr>
          <w:szCs w:val="22"/>
          <w:lang w:eastAsia="sv-SE"/>
        </w:rPr>
        <w:t>Abengoa also constructed a commercial cellulosic ethanol plant</w:t>
      </w:r>
      <w:r>
        <w:rPr>
          <w:rStyle w:val="FootnoteReference"/>
          <w:szCs w:val="22"/>
          <w:lang w:eastAsia="sv-SE"/>
        </w:rPr>
        <w:footnoteReference w:id="163"/>
      </w:r>
      <w:r>
        <w:rPr>
          <w:szCs w:val="22"/>
          <w:lang w:eastAsia="sv-SE"/>
        </w:rPr>
        <w:t xml:space="preserve"> at </w:t>
      </w:r>
      <w:r>
        <w:rPr>
          <w:b/>
          <w:szCs w:val="22"/>
          <w:lang w:eastAsia="sv-SE"/>
        </w:rPr>
        <w:t>Hugoton, Kansas</w:t>
      </w:r>
      <w:r>
        <w:rPr>
          <w:szCs w:val="22"/>
          <w:lang w:eastAsia="sv-SE"/>
        </w:rPr>
        <w:t>, USA. The Hugoton plant was desi</w:t>
      </w:r>
      <w:r>
        <w:rPr>
          <w:szCs w:val="22"/>
          <w:lang w:eastAsia="sv-SE"/>
        </w:rPr>
        <w:t>gned to produce about</w:t>
      </w:r>
      <w:r>
        <w:rPr>
          <w:szCs w:val="22"/>
        </w:rPr>
        <w:t xml:space="preserve"> 95 million l/y </w:t>
      </w:r>
      <w:r>
        <w:rPr>
          <w:szCs w:val="22"/>
          <w:lang w:eastAsia="sv-SE"/>
        </w:rPr>
        <w:t xml:space="preserve">from about 350,000 tons of biomass </w:t>
      </w:r>
      <w:r>
        <w:rPr>
          <w:szCs w:val="22"/>
        </w:rPr>
        <w:t>annually</w:t>
      </w:r>
      <w:r>
        <w:rPr>
          <w:szCs w:val="22"/>
          <w:lang w:eastAsia="sv-SE"/>
        </w:rPr>
        <w:t>.</w:t>
      </w:r>
      <w:r>
        <w:rPr>
          <w:szCs w:val="22"/>
        </w:rPr>
        <w:t xml:space="preserve"> </w:t>
      </w:r>
      <w:r>
        <w:rPr>
          <w:szCs w:val="22"/>
          <w:lang w:eastAsia="sv-SE"/>
        </w:rPr>
        <w:t>The process residue (lignin) will be combusted along with 300 tons/day of fry, raw biomass material (feedstock) to produce 18 megawatts of electricity. The key technologies a</w:t>
      </w:r>
      <w:r>
        <w:rPr>
          <w:szCs w:val="22"/>
          <w:lang w:eastAsia="sv-SE"/>
        </w:rPr>
        <w:t xml:space="preserve">re based on a sulphuric acid-catalysed steam explosion pre-treatment, in situ enzyme production, enzymatic hydrolysis and co-production of C5 and C6 sugars to ethanol. </w:t>
      </w:r>
    </w:p>
    <w:p w:rsidR="006E1BDE" w:rsidRDefault="00244DD3">
      <w:pPr>
        <w:rPr>
          <w:szCs w:val="22"/>
        </w:rPr>
      </w:pPr>
      <w:r>
        <w:rPr>
          <w:szCs w:val="22"/>
        </w:rPr>
        <w:t>However, in 2017 the Abengoa Group faced financial difficulties and the ethanol busines</w:t>
      </w:r>
      <w:r>
        <w:rPr>
          <w:szCs w:val="22"/>
        </w:rPr>
        <w:t>s was sold. Abengoa Bioenergy Biomass of Kansas</w:t>
      </w:r>
      <w:r>
        <w:rPr>
          <w:rStyle w:val="FootnoteReference"/>
          <w:szCs w:val="22"/>
        </w:rPr>
        <w:footnoteReference w:id="164"/>
      </w:r>
      <w:r>
        <w:rPr>
          <w:szCs w:val="22"/>
        </w:rPr>
        <w:t xml:space="preserve"> sold its Hugoton cellulosic ethanol plant to Synata Bio for $48.5 million, according to a brief release from its agreement adviser, Ocean Park, a boutique investment bank in Los Angeles, California</w:t>
      </w:r>
      <w:r>
        <w:rPr>
          <w:rStyle w:val="FootnoteReference"/>
          <w:szCs w:val="22"/>
        </w:rPr>
        <w:footnoteReference w:id="165"/>
      </w:r>
      <w:r>
        <w:rPr>
          <w:szCs w:val="22"/>
        </w:rPr>
        <w:t>.</w:t>
      </w:r>
    </w:p>
    <w:p w:rsidR="006E1BDE" w:rsidRDefault="00244DD3">
      <w:pPr>
        <w:pStyle w:val="Caption"/>
        <w:rPr>
          <w:szCs w:val="22"/>
        </w:rPr>
      </w:pPr>
      <w:r>
        <w:rPr>
          <w:szCs w:val="22"/>
        </w:rPr>
        <w:t xml:space="preserve">Figure </w:t>
      </w:r>
      <w:r>
        <w:rPr>
          <w:szCs w:val="22"/>
        </w:rPr>
        <w:t>22: Abengoa’s demonstration plant at Babilafuente Salamanca, Spain</w:t>
      </w:r>
    </w:p>
    <w:p w:rsidR="006E1BDE" w:rsidRDefault="00244DD3">
      <w:pPr>
        <w:jc w:val="center"/>
        <w:rPr>
          <w:szCs w:val="22"/>
          <w:lang w:eastAsia="sv-SE"/>
        </w:rPr>
      </w:pPr>
      <w:r>
        <w:rPr>
          <w:noProof/>
          <w:color w:val="0000FF"/>
          <w:szCs w:val="22"/>
          <w:lang w:eastAsia="en-GB"/>
        </w:rPr>
        <w:drawing>
          <wp:inline distT="0" distB="0" distL="0" distR="0">
            <wp:extent cx="3295650" cy="2470674"/>
            <wp:effectExtent l="0" t="0" r="0" b="6350"/>
            <wp:docPr id="4109" name="irc_mi">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Abengoa Renewables salamanca plant">
                      <a:hlinkClick r:id="rId37"/>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08518" cy="2480321"/>
                    </a:xfrm>
                    <a:prstGeom prst="rect">
                      <a:avLst/>
                    </a:prstGeom>
                    <a:noFill/>
                    <a:ln>
                      <a:noFill/>
                    </a:ln>
                  </pic:spPr>
                </pic:pic>
              </a:graphicData>
            </a:graphic>
          </wp:inline>
        </w:drawing>
      </w:r>
    </w:p>
    <w:p w:rsidR="006E1BDE" w:rsidRDefault="00244DD3">
      <w:pPr>
        <w:pStyle w:val="Caption"/>
        <w:rPr>
          <w:szCs w:val="22"/>
        </w:rPr>
      </w:pPr>
      <w:r>
        <w:rPr>
          <w:szCs w:val="22"/>
        </w:rPr>
        <w:t>Figure 23: Abengoa’s commercial plant at Hugoton, Kansas, USA</w:t>
      </w:r>
    </w:p>
    <w:p w:rsidR="006E1BDE" w:rsidRDefault="00244DD3">
      <w:pPr>
        <w:jc w:val="center"/>
        <w:rPr>
          <w:szCs w:val="22"/>
          <w:lang w:eastAsia="sv-SE"/>
        </w:rPr>
      </w:pPr>
      <w:r>
        <w:rPr>
          <w:rFonts w:cs="Arial"/>
          <w:noProof/>
          <w:color w:val="666666"/>
          <w:szCs w:val="22"/>
          <w:lang w:eastAsia="en-GB"/>
        </w:rPr>
        <w:drawing>
          <wp:inline distT="0" distB="0" distL="0" distR="0">
            <wp:extent cx="3362325" cy="2241550"/>
            <wp:effectExtent l="0" t="0" r="9525" b="6350"/>
            <wp:docPr id="4110" name="Picture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bengoa’s second generation cellulosic ethanol plant in Hugoton, Kansa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62325" cy="2241550"/>
                    </a:xfrm>
                    <a:prstGeom prst="rect">
                      <a:avLst/>
                    </a:prstGeom>
                    <a:noFill/>
                    <a:ln>
                      <a:noFill/>
                    </a:ln>
                  </pic:spPr>
                </pic:pic>
              </a:graphicData>
            </a:graphic>
          </wp:inline>
        </w:drawing>
      </w:r>
    </w:p>
    <w:p w:rsidR="006E1BDE" w:rsidRDefault="00244DD3">
      <w:pPr>
        <w:rPr>
          <w:szCs w:val="22"/>
          <w:lang w:eastAsia="sv-SE"/>
        </w:rPr>
      </w:pPr>
      <w:r>
        <w:rPr>
          <w:b/>
          <w:szCs w:val="22"/>
          <w:lang w:eastAsia="sv-SE"/>
        </w:rPr>
        <w:t>POET/DSM</w:t>
      </w:r>
      <w:r>
        <w:rPr>
          <w:szCs w:val="22"/>
          <w:lang w:eastAsia="sv-SE"/>
        </w:rPr>
        <w:t xml:space="preserve"> is a 50/50 consortium between the USA based POET LLC and the Dutch DSM that built the </w:t>
      </w:r>
      <w:r>
        <w:rPr>
          <w:b/>
          <w:szCs w:val="22"/>
          <w:lang w:eastAsia="sv-SE"/>
        </w:rPr>
        <w:t>LIBERTY</w:t>
      </w:r>
      <w:r>
        <w:rPr>
          <w:rStyle w:val="FootnoteReference"/>
          <w:b/>
          <w:szCs w:val="22"/>
          <w:lang w:eastAsia="sv-SE"/>
        </w:rPr>
        <w:footnoteReference w:id="166"/>
      </w:r>
      <w:r>
        <w:rPr>
          <w:b/>
          <w:szCs w:val="22"/>
          <w:lang w:eastAsia="sv-SE"/>
        </w:rPr>
        <w:t xml:space="preserve"> plant in Emmetsburg</w:t>
      </w:r>
      <w:r>
        <w:rPr>
          <w:b/>
          <w:szCs w:val="22"/>
          <w:lang w:eastAsia="sv-SE"/>
        </w:rPr>
        <w:t>, Iowa</w:t>
      </w:r>
      <w:r>
        <w:rPr>
          <w:szCs w:val="22"/>
          <w:lang w:eastAsia="sv-SE"/>
        </w:rPr>
        <w:t>, USA. DSM developed new enzymes that are also expected to improve effectiveness of the enzyme mix, further reducing costs for the process while POET constructed the rest of the plant. The cellulosic ethanol plant is co-located with a grain-based eth</w:t>
      </w:r>
      <w:r>
        <w:rPr>
          <w:szCs w:val="22"/>
          <w:lang w:eastAsia="sv-SE"/>
        </w:rPr>
        <w:t xml:space="preserve">anol plant, and uses a proprietary biomass pre-treatment technology based on a two-stage acid-catalysed steam explosion, followed by enzymatic hydrolysis with DSM-tailored enzymes. The fermentation of C5 and C6 sugars is based on DSM engineered yeast. The </w:t>
      </w:r>
      <w:r>
        <w:rPr>
          <w:szCs w:val="22"/>
          <w:lang w:eastAsia="sv-SE"/>
        </w:rPr>
        <w:t xml:space="preserve">lignin streams as well the waste organic streams from the plant are mixed and undergoes anaerobic digestion to produce biogas for power supply. </w:t>
      </w:r>
    </w:p>
    <w:p w:rsidR="006E1BDE" w:rsidRDefault="00244DD3">
      <w:pPr>
        <w:pStyle w:val="Caption"/>
        <w:rPr>
          <w:szCs w:val="22"/>
        </w:rPr>
      </w:pPr>
      <w:r>
        <w:rPr>
          <w:szCs w:val="22"/>
        </w:rPr>
        <w:t>Figure 24: The POET/DSM plant in Emmetsburg, Iowa, USA</w:t>
      </w:r>
    </w:p>
    <w:p w:rsidR="006E1BDE" w:rsidRDefault="00244DD3">
      <w:pPr>
        <w:jc w:val="center"/>
        <w:rPr>
          <w:szCs w:val="22"/>
          <w:u w:val="single"/>
          <w:lang w:eastAsia="sv-SE"/>
        </w:rPr>
      </w:pPr>
      <w:r>
        <w:rPr>
          <w:noProof/>
          <w:szCs w:val="22"/>
          <w:lang w:eastAsia="en-GB"/>
        </w:rPr>
        <w:drawing>
          <wp:inline distT="0" distB="0" distL="0" distR="0">
            <wp:extent cx="3705225" cy="2648657"/>
            <wp:effectExtent l="0" t="0" r="0" b="0"/>
            <wp:docPr id="4111" name="imageshow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hown" descr="http://farm1.staticflickr.com/345/19162451213_a2b4df07f2_b.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707307" cy="2650145"/>
                    </a:xfrm>
                    <a:prstGeom prst="rect">
                      <a:avLst/>
                    </a:prstGeom>
                    <a:noFill/>
                    <a:ln>
                      <a:noFill/>
                    </a:ln>
                  </pic:spPr>
                </pic:pic>
              </a:graphicData>
            </a:graphic>
          </wp:inline>
        </w:drawing>
      </w:r>
    </w:p>
    <w:p w:rsidR="006E1BDE" w:rsidRDefault="00244DD3">
      <w:pPr>
        <w:rPr>
          <w:szCs w:val="22"/>
          <w:lang w:eastAsia="sv-SE"/>
        </w:rPr>
      </w:pPr>
      <w:r>
        <w:rPr>
          <w:b/>
          <w:szCs w:val="22"/>
          <w:lang w:eastAsia="sv-SE"/>
        </w:rPr>
        <w:t>CLARIANT</w:t>
      </w:r>
      <w:r>
        <w:rPr>
          <w:szCs w:val="22"/>
          <w:lang w:eastAsia="sv-SE"/>
        </w:rPr>
        <w:t xml:space="preserve"> has built its technology on the basis of a de</w:t>
      </w:r>
      <w:r>
        <w:rPr>
          <w:szCs w:val="22"/>
          <w:lang w:eastAsia="sv-SE"/>
        </w:rPr>
        <w:t xml:space="preserve">monstration plant at </w:t>
      </w:r>
      <w:r>
        <w:rPr>
          <w:b/>
          <w:szCs w:val="22"/>
          <w:lang w:eastAsia="sv-SE"/>
        </w:rPr>
        <w:t>Straubing</w:t>
      </w:r>
      <w:r>
        <w:rPr>
          <w:szCs w:val="22"/>
          <w:lang w:eastAsia="sv-SE"/>
        </w:rPr>
        <w:t>, Germany. The plant can produce 900 t/y, however, since it is a demonstration plant it is not operated continuously but for testing and optimization purposes. It is a well-integrated plant consisting of chemical-free steam pr</w:t>
      </w:r>
      <w:r>
        <w:rPr>
          <w:szCs w:val="22"/>
          <w:lang w:eastAsia="sv-SE"/>
        </w:rPr>
        <w:t>e-treatment, integrated on-site enzyme production, hydrolysis, solid-liquid separation, fermentation of C5/C6 sugars to ethanol, and ethanol purification. The company has been awarded a FP7 contract to build a 50,000 t/y facility under project SUNLIQUID</w:t>
      </w:r>
      <w:r>
        <w:rPr>
          <w:rStyle w:val="FootnoteReference"/>
          <w:szCs w:val="22"/>
          <w:lang w:eastAsia="sv-SE"/>
        </w:rPr>
        <w:footnoteReference w:id="167"/>
      </w:r>
      <w:r>
        <w:rPr>
          <w:szCs w:val="22"/>
          <w:lang w:eastAsia="sv-SE"/>
        </w:rPr>
        <w:t xml:space="preserve">. </w:t>
      </w:r>
      <w:r>
        <w:rPr>
          <w:szCs w:val="22"/>
          <w:lang w:eastAsia="sv-SE"/>
        </w:rPr>
        <w:t>CLARIANT also obtained additional financial support from the Bio-Based Industries Joint Undertaking under the European Union’s Horizon 2020 research and innovation program under grant agreement programme of the EU. The new plant will be built in the south-</w:t>
      </w:r>
      <w:r>
        <w:rPr>
          <w:szCs w:val="22"/>
          <w:lang w:eastAsia="sv-SE"/>
        </w:rPr>
        <w:t xml:space="preserve">western part of Romania where the availability of the biomass has been confirmed. At full capacity, the new plant will process approximately 250.000 tons of wheat straw and other cereal straw annually, which will be sourced from local farmers. Co-products </w:t>
      </w:r>
      <w:r>
        <w:rPr>
          <w:szCs w:val="22"/>
          <w:lang w:eastAsia="sv-SE"/>
        </w:rPr>
        <w:t>from the process will be used for the generation of renewable energy with the goal of making the plant independent from fossil energy sources.</w:t>
      </w:r>
    </w:p>
    <w:p w:rsidR="006E1BDE" w:rsidRDefault="00244DD3">
      <w:pPr>
        <w:rPr>
          <w:szCs w:val="22"/>
          <w:lang w:eastAsia="sv-SE"/>
        </w:rPr>
      </w:pPr>
      <w:r>
        <w:rPr>
          <w:szCs w:val="22"/>
          <w:lang w:eastAsia="sv-SE"/>
        </w:rPr>
        <w:t xml:space="preserve">Furthermore CLARIANT already announced a successful step towards increasing the commercial attractiveness of its </w:t>
      </w:r>
      <w:r>
        <w:rPr>
          <w:szCs w:val="22"/>
          <w:lang w:eastAsia="sv-SE"/>
        </w:rPr>
        <w:t>sunliquid® technology by signing the first technology license agreement with Enviral, a member of the Envien Group</w:t>
      </w:r>
      <w:r>
        <w:rPr>
          <w:rStyle w:val="FootnoteReference"/>
          <w:szCs w:val="22"/>
          <w:lang w:eastAsia="sv-SE"/>
        </w:rPr>
        <w:footnoteReference w:id="168"/>
      </w:r>
      <w:r>
        <w:rPr>
          <w:szCs w:val="22"/>
          <w:lang w:eastAsia="sv-SE"/>
        </w:rPr>
        <w:t xml:space="preserve">. The plant will be built in Slovakia and I will also have a capacity of 50,000 t/y. Envien Group is one of the largest and most significant </w:t>
      </w:r>
      <w:r>
        <w:rPr>
          <w:szCs w:val="22"/>
          <w:lang w:eastAsia="sv-SE"/>
        </w:rPr>
        <w:t>groups of companies in the CEE region active in the production of biofuels, used in blends with conventional diesel and gasoline. The group consists of ten member companies in 4 European countries - Slovakia, Czech Republic, Hungary and Croatia. These comp</w:t>
      </w:r>
      <w:r>
        <w:rPr>
          <w:szCs w:val="22"/>
          <w:lang w:eastAsia="sv-SE"/>
        </w:rPr>
        <w:t>anies are interconnected and create an entity managed as a single unit through divisional organization system.</w:t>
      </w:r>
    </w:p>
    <w:p w:rsidR="006E1BDE" w:rsidRDefault="00244DD3">
      <w:pPr>
        <w:pStyle w:val="Caption"/>
        <w:rPr>
          <w:szCs w:val="22"/>
        </w:rPr>
      </w:pPr>
      <w:r>
        <w:rPr>
          <w:szCs w:val="22"/>
        </w:rPr>
        <w:t>Figure 25: Clariant’s development plant at Straubing, Germany</w:t>
      </w:r>
    </w:p>
    <w:p w:rsidR="006E1BDE" w:rsidRDefault="00244DD3">
      <w:pPr>
        <w:jc w:val="center"/>
        <w:rPr>
          <w:szCs w:val="22"/>
          <w:u w:val="single"/>
          <w:lang w:eastAsia="sv-SE"/>
        </w:rPr>
      </w:pPr>
      <w:r>
        <w:rPr>
          <w:noProof/>
          <w:szCs w:val="22"/>
          <w:u w:val="single"/>
          <w:lang w:eastAsia="en-GB"/>
        </w:rPr>
        <w:drawing>
          <wp:inline distT="0" distB="0" distL="0" distR="0">
            <wp:extent cx="3483610" cy="1853938"/>
            <wp:effectExtent l="0" t="0" r="2540" b="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489699" cy="1857179"/>
                    </a:xfrm>
                    <a:prstGeom prst="rect">
                      <a:avLst/>
                    </a:prstGeom>
                    <a:noFill/>
                    <a:ln>
                      <a:noFill/>
                    </a:ln>
                  </pic:spPr>
                </pic:pic>
              </a:graphicData>
            </a:graphic>
          </wp:inline>
        </w:drawing>
      </w:r>
    </w:p>
    <w:p w:rsidR="006E1BDE" w:rsidRDefault="00244DD3">
      <w:pPr>
        <w:rPr>
          <w:szCs w:val="22"/>
          <w:lang w:eastAsia="sv-SE"/>
        </w:rPr>
      </w:pPr>
      <w:r>
        <w:rPr>
          <w:b/>
          <w:szCs w:val="22"/>
          <w:lang w:eastAsia="sv-SE"/>
        </w:rPr>
        <w:t>BORREGAARD</w:t>
      </w:r>
      <w:r>
        <w:rPr>
          <w:rStyle w:val="FootnoteReference"/>
          <w:szCs w:val="22"/>
          <w:lang w:eastAsia="sv-SE"/>
        </w:rPr>
        <w:footnoteReference w:id="169"/>
      </w:r>
      <w:r>
        <w:rPr>
          <w:szCs w:val="22"/>
          <w:lang w:eastAsia="sv-SE"/>
        </w:rPr>
        <w:t xml:space="preserve"> has one of the oldest but innovative biorefineries in Europe at </w:t>
      </w:r>
      <w:r>
        <w:rPr>
          <w:b/>
          <w:szCs w:val="22"/>
          <w:lang w:eastAsia="sv-SE"/>
        </w:rPr>
        <w:t>Sarps</w:t>
      </w:r>
      <w:r>
        <w:rPr>
          <w:b/>
          <w:szCs w:val="22"/>
          <w:lang w:eastAsia="sv-SE"/>
        </w:rPr>
        <w:t xml:space="preserve">borg, Østfold </w:t>
      </w:r>
      <w:r>
        <w:rPr>
          <w:szCs w:val="22"/>
          <w:lang w:eastAsia="sv-SE"/>
        </w:rPr>
        <w:t>county, Norway.</w:t>
      </w:r>
      <w:r>
        <w:rPr>
          <w:szCs w:val="22"/>
        </w:rPr>
        <w:t xml:space="preserve"> It was </w:t>
      </w:r>
      <w:r>
        <w:rPr>
          <w:szCs w:val="22"/>
          <w:lang w:eastAsia="sv-SE"/>
        </w:rPr>
        <w:t xml:space="preserve">established in 1889 and its main products were traditionally pulp and paper. The company later started producing chemicals based on timber as a raw material and recently developed the </w:t>
      </w:r>
      <w:r>
        <w:rPr>
          <w:szCs w:val="22"/>
        </w:rPr>
        <w:t xml:space="preserve">BALI technology for the production </w:t>
      </w:r>
      <w:r>
        <w:rPr>
          <w:szCs w:val="22"/>
        </w:rPr>
        <w:t>of chemicals and ethanol. The BALI process is based on a sulphite-based cooking pre-treatment followed by enzymatic hydrolysis of the pre-treated biomass, fermentation of the sugars to ethanol and processing of the lignin to value added performance chemica</w:t>
      </w:r>
      <w:r>
        <w:rPr>
          <w:szCs w:val="22"/>
        </w:rPr>
        <w:t>ls.</w:t>
      </w:r>
      <w:r>
        <w:rPr>
          <w:szCs w:val="22"/>
          <w:lang w:eastAsia="sv-SE"/>
        </w:rPr>
        <w:t xml:space="preserve"> </w:t>
      </w:r>
    </w:p>
    <w:p w:rsidR="006E1BDE" w:rsidRDefault="00244DD3">
      <w:pPr>
        <w:pStyle w:val="Caption"/>
        <w:rPr>
          <w:szCs w:val="22"/>
        </w:rPr>
      </w:pPr>
      <w:r>
        <w:rPr>
          <w:szCs w:val="22"/>
        </w:rPr>
        <w:t>Figure 26: The BORREGAARD demonstration plant at Sarpsborg, Østfold county, Norway</w:t>
      </w:r>
    </w:p>
    <w:p w:rsidR="006E1BDE" w:rsidRDefault="00244DD3">
      <w:pPr>
        <w:jc w:val="center"/>
        <w:rPr>
          <w:szCs w:val="22"/>
          <w:lang w:eastAsia="sv-SE"/>
        </w:rPr>
      </w:pPr>
      <w:r>
        <w:rPr>
          <w:noProof/>
          <w:szCs w:val="22"/>
          <w:lang w:eastAsia="en-GB"/>
        </w:rPr>
        <w:drawing>
          <wp:inline distT="0" distB="0" distL="0" distR="0">
            <wp:extent cx="3226435" cy="2137820"/>
            <wp:effectExtent l="0" t="0" r="0" b="0"/>
            <wp:docPr id="4112" name="Picture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232938" cy="2142129"/>
                    </a:xfrm>
                    <a:prstGeom prst="rect">
                      <a:avLst/>
                    </a:prstGeom>
                    <a:noFill/>
                    <a:ln>
                      <a:noFill/>
                    </a:ln>
                  </pic:spPr>
                </pic:pic>
              </a:graphicData>
            </a:graphic>
          </wp:inline>
        </w:drawing>
      </w:r>
    </w:p>
    <w:p w:rsidR="006E1BDE" w:rsidRDefault="00244DD3">
      <w:pPr>
        <w:rPr>
          <w:szCs w:val="22"/>
          <w:lang w:eastAsia="sv-SE"/>
        </w:rPr>
      </w:pPr>
      <w:r>
        <w:rPr>
          <w:b/>
          <w:szCs w:val="22"/>
          <w:lang w:eastAsia="sv-SE"/>
        </w:rPr>
        <w:t>Inbicon</w:t>
      </w:r>
      <w:r>
        <w:rPr>
          <w:rStyle w:val="FootnoteReference"/>
          <w:b/>
          <w:szCs w:val="22"/>
          <w:lang w:eastAsia="sv-SE"/>
        </w:rPr>
        <w:footnoteReference w:id="170"/>
      </w:r>
      <w:r>
        <w:rPr>
          <w:b/>
          <w:szCs w:val="22"/>
          <w:lang w:eastAsia="sv-SE"/>
        </w:rPr>
        <w:t>/Dong</w:t>
      </w:r>
      <w:r>
        <w:rPr>
          <w:rStyle w:val="FootnoteReference"/>
          <w:szCs w:val="22"/>
          <w:lang w:eastAsia="sv-SE"/>
        </w:rPr>
        <w:footnoteReference w:id="171"/>
      </w:r>
      <w:r>
        <w:rPr>
          <w:szCs w:val="22"/>
          <w:lang w:eastAsia="sv-SE"/>
        </w:rPr>
        <w:t xml:space="preserve"> built a demonstration plant at </w:t>
      </w:r>
      <w:r>
        <w:rPr>
          <w:b/>
          <w:szCs w:val="22"/>
          <w:lang w:eastAsia="sv-SE"/>
        </w:rPr>
        <w:t>Kalundborg</w:t>
      </w:r>
      <w:r>
        <w:rPr>
          <w:szCs w:val="22"/>
          <w:lang w:eastAsia="sv-SE"/>
        </w:rPr>
        <w:t>, Denmark that has gone through optimization stages. The plant has an annual input capacity of 30,000 t of straw. The key technologies used in the demonstration plant are a three-stage continuous process based on biomass mechanical conditioning, hydrotherm</w:t>
      </w:r>
      <w:r>
        <w:rPr>
          <w:szCs w:val="22"/>
          <w:lang w:eastAsia="sv-SE"/>
        </w:rPr>
        <w:t>al pre-treatment followed by a pre-enzymatic hydrolysis at high dry matter consistency (up to 30% d.m.) which provides a continuous liquefaction. The plant has operated efficiently with technology using C5/C6 mixed sugar fermentation which resulted in impr</w:t>
      </w:r>
      <w:r>
        <w:rPr>
          <w:szCs w:val="22"/>
          <w:lang w:eastAsia="sv-SE"/>
        </w:rPr>
        <w:t>ovements in  the ethanol yield. Due to the lack of stable policies in the EU Inbicon now concentrates to biochemical and biomaterials.</w:t>
      </w:r>
    </w:p>
    <w:p w:rsidR="006E1BDE" w:rsidRDefault="00244DD3">
      <w:pPr>
        <w:pStyle w:val="Caption"/>
        <w:rPr>
          <w:szCs w:val="22"/>
        </w:rPr>
      </w:pPr>
      <w:r>
        <w:rPr>
          <w:szCs w:val="22"/>
        </w:rPr>
        <w:t>Figure 27: The Inbicon/Dong demonstration plant at Kalundborg, Denmark</w:t>
      </w:r>
    </w:p>
    <w:p w:rsidR="006E1BDE" w:rsidRDefault="00244DD3">
      <w:pPr>
        <w:jc w:val="center"/>
        <w:rPr>
          <w:szCs w:val="22"/>
          <w:u w:val="single"/>
          <w:lang w:eastAsia="sv-SE"/>
        </w:rPr>
      </w:pPr>
      <w:r>
        <w:rPr>
          <w:noProof/>
          <w:color w:val="0000FF"/>
          <w:szCs w:val="22"/>
          <w:lang w:eastAsia="en-GB"/>
        </w:rPr>
        <w:drawing>
          <wp:inline distT="0" distB="0" distL="0" distR="0">
            <wp:extent cx="3672817" cy="2236763"/>
            <wp:effectExtent l="0" t="0" r="4445" b="0"/>
            <wp:docPr id="4114" name="irc_mi">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inbicon kalundborg demonstration plant photos">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81937" cy="2242317"/>
                    </a:xfrm>
                    <a:prstGeom prst="rect">
                      <a:avLst/>
                    </a:prstGeom>
                    <a:noFill/>
                    <a:ln>
                      <a:noFill/>
                    </a:ln>
                  </pic:spPr>
                </pic:pic>
              </a:graphicData>
            </a:graphic>
          </wp:inline>
        </w:drawing>
      </w:r>
    </w:p>
    <w:p w:rsidR="006E1BDE" w:rsidRDefault="00244DD3">
      <w:pPr>
        <w:rPr>
          <w:szCs w:val="22"/>
          <w:lang w:eastAsia="sv-SE"/>
        </w:rPr>
      </w:pPr>
      <w:r>
        <w:rPr>
          <w:b/>
          <w:szCs w:val="22"/>
          <w:lang w:eastAsia="sv-SE"/>
        </w:rPr>
        <w:t>ST1</w:t>
      </w:r>
      <w:r>
        <w:rPr>
          <w:rStyle w:val="FootnoteReference"/>
          <w:szCs w:val="22"/>
          <w:lang w:eastAsia="sv-SE"/>
        </w:rPr>
        <w:footnoteReference w:id="172"/>
      </w:r>
      <w:r>
        <w:rPr>
          <w:szCs w:val="22"/>
          <w:lang w:eastAsia="sv-SE"/>
        </w:rPr>
        <w:t xml:space="preserve"> built the world’s first softwood sawdust to</w:t>
      </w:r>
      <w:r>
        <w:rPr>
          <w:szCs w:val="22"/>
          <w:lang w:eastAsia="sv-SE"/>
        </w:rPr>
        <w:t xml:space="preserve"> ethanol plant in </w:t>
      </w:r>
      <w:r>
        <w:rPr>
          <w:b/>
          <w:szCs w:val="22"/>
          <w:lang w:eastAsia="sv-SE"/>
        </w:rPr>
        <w:t>Kajaani</w:t>
      </w:r>
      <w:r>
        <w:rPr>
          <w:szCs w:val="22"/>
          <w:lang w:eastAsia="sv-SE"/>
        </w:rPr>
        <w:t>, Finland based on its Cellunolix® technology. The bioethanol plant is located on the Renforsin Ranta industrial estate in Kajaani. The raw material for the plant will be sawdust from a nearby factory. The production capacity of th</w:t>
      </w:r>
      <w:r>
        <w:rPr>
          <w:szCs w:val="22"/>
          <w:lang w:eastAsia="sv-SE"/>
        </w:rPr>
        <w:t>e plant, 10 million litres of bioethanol per year, and the ethanol will be leased to North European Oil Trade Oy</w:t>
      </w:r>
      <w:r>
        <w:rPr>
          <w:rStyle w:val="FootnoteReference"/>
          <w:szCs w:val="22"/>
          <w:lang w:eastAsia="sv-SE"/>
        </w:rPr>
        <w:footnoteReference w:id="173"/>
      </w:r>
      <w:r>
        <w:rPr>
          <w:szCs w:val="22"/>
          <w:lang w:eastAsia="sv-SE"/>
        </w:rPr>
        <w:t xml:space="preserve"> (NEOT), which engages in oil and bio-products wholesale trade. The process is based on acid catalyst based pre-treatment, hydrolysis, fermenta</w:t>
      </w:r>
      <w:r>
        <w:rPr>
          <w:szCs w:val="22"/>
          <w:lang w:eastAsia="sv-SE"/>
        </w:rPr>
        <w:t>tion, lignin separation, evaporation, distillation, turpentine and furfural recovery units and utility stations. Lignin and evaporation residues are converted, fed in to the boiler plant in the vicinity. Fermentation organism utilize mainly C6 sugars while</w:t>
      </w:r>
      <w:r>
        <w:rPr>
          <w:szCs w:val="22"/>
          <w:lang w:eastAsia="sv-SE"/>
        </w:rPr>
        <w:t xml:space="preserve"> majority of C5 sugars remain as future potential. </w:t>
      </w:r>
    </w:p>
    <w:p w:rsidR="006E1BDE" w:rsidRDefault="00244DD3">
      <w:pPr>
        <w:rPr>
          <w:szCs w:val="22"/>
          <w:lang w:eastAsia="sv-SE"/>
        </w:rPr>
      </w:pPr>
      <w:r>
        <w:rPr>
          <w:szCs w:val="22"/>
          <w:lang w:eastAsia="sv-SE"/>
        </w:rPr>
        <w:t>Acting on behalf of NEOT St1 has begun the analysis and signed letters of intent with Alholmens Kraft and UPM on a sawdust-based ethanol plant</w:t>
      </w:r>
      <w:r>
        <w:rPr>
          <w:rStyle w:val="FootnoteReference"/>
          <w:szCs w:val="22"/>
          <w:lang w:eastAsia="sv-SE"/>
        </w:rPr>
        <w:footnoteReference w:id="174"/>
      </w:r>
      <w:r>
        <w:rPr>
          <w:szCs w:val="22"/>
          <w:lang w:eastAsia="sv-SE"/>
        </w:rPr>
        <w:t xml:space="preserve"> in the Alholma industrial area in Pietarsaari. The project i</w:t>
      </w:r>
      <w:r>
        <w:rPr>
          <w:szCs w:val="22"/>
          <w:lang w:eastAsia="sv-SE"/>
        </w:rPr>
        <w:t>s estimated to be in the investment decision stage in 2018 and the plant could start up in 2020. The intention is to build a 50-million-litre Cellunolix® bioethanol plant. At the same time considerations on expanding the Kajaani plant are under way.</w:t>
      </w:r>
    </w:p>
    <w:p w:rsidR="006E1BDE" w:rsidRDefault="00244DD3">
      <w:pPr>
        <w:pStyle w:val="Caption"/>
        <w:rPr>
          <w:szCs w:val="22"/>
        </w:rPr>
      </w:pPr>
      <w:r>
        <w:rPr>
          <w:szCs w:val="22"/>
        </w:rPr>
        <w:t>Figure</w:t>
      </w:r>
      <w:r>
        <w:rPr>
          <w:szCs w:val="22"/>
        </w:rPr>
        <w:t xml:space="preserve"> 28: The ST1 plant in Kajaani, Finland</w:t>
      </w:r>
    </w:p>
    <w:p w:rsidR="006E1BDE" w:rsidRDefault="00244DD3">
      <w:pPr>
        <w:jc w:val="center"/>
        <w:rPr>
          <w:szCs w:val="22"/>
          <w:u w:val="single"/>
          <w:lang w:eastAsia="sv-SE"/>
        </w:rPr>
      </w:pPr>
      <w:r>
        <w:rPr>
          <w:noProof/>
          <w:szCs w:val="22"/>
          <w:u w:val="single"/>
          <w:lang w:eastAsia="en-GB"/>
        </w:rPr>
        <w:drawing>
          <wp:inline distT="0" distB="0" distL="0" distR="0">
            <wp:extent cx="3989047" cy="2286635"/>
            <wp:effectExtent l="0" t="0" r="0" b="0"/>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996497" cy="2290906"/>
                    </a:xfrm>
                    <a:prstGeom prst="rect">
                      <a:avLst/>
                    </a:prstGeom>
                    <a:noFill/>
                    <a:ln>
                      <a:noFill/>
                    </a:ln>
                  </pic:spPr>
                </pic:pic>
              </a:graphicData>
            </a:graphic>
          </wp:inline>
        </w:drawing>
      </w:r>
    </w:p>
    <w:p w:rsidR="006E1BDE" w:rsidRDefault="00244DD3">
      <w:pPr>
        <w:rPr>
          <w:szCs w:val="22"/>
          <w:lang w:eastAsia="sv-SE"/>
        </w:rPr>
      </w:pPr>
      <w:r>
        <w:rPr>
          <w:b/>
          <w:szCs w:val="22"/>
          <w:lang w:eastAsia="sv-SE"/>
        </w:rPr>
        <w:t>IFP Energies nouvelles</w:t>
      </w:r>
      <w:r>
        <w:rPr>
          <w:rStyle w:val="FootnoteReference"/>
          <w:szCs w:val="22"/>
          <w:lang w:eastAsia="sv-SE"/>
        </w:rPr>
        <w:footnoteReference w:id="175"/>
      </w:r>
      <w:r>
        <w:rPr>
          <w:szCs w:val="22"/>
          <w:lang w:eastAsia="sv-SE"/>
        </w:rPr>
        <w:t xml:space="preserve"> (IFPEN) is one of the founders of the </w:t>
      </w:r>
      <w:r>
        <w:rPr>
          <w:b/>
          <w:szCs w:val="22"/>
          <w:lang w:eastAsia="sv-SE"/>
        </w:rPr>
        <w:t>Futurol</w:t>
      </w:r>
      <w:r>
        <w:rPr>
          <w:rStyle w:val="FootnoteReference"/>
          <w:szCs w:val="22"/>
          <w:lang w:eastAsia="sv-SE"/>
        </w:rPr>
        <w:footnoteReference w:id="176"/>
      </w:r>
      <w:r>
        <w:rPr>
          <w:szCs w:val="22"/>
          <w:lang w:eastAsia="sv-SE"/>
        </w:rPr>
        <w:t xml:space="preserve"> project. First a pilot plant was built at </w:t>
      </w:r>
      <w:r>
        <w:rPr>
          <w:b/>
          <w:szCs w:val="22"/>
          <w:lang w:eastAsia="sv-SE"/>
        </w:rPr>
        <w:t>Pomacle</w:t>
      </w:r>
      <w:r>
        <w:rPr>
          <w:szCs w:val="22"/>
          <w:lang w:eastAsia="sv-SE"/>
        </w:rPr>
        <w:t>, France. In 2016, a final step was taken with the completion of the construction and commissio</w:t>
      </w:r>
      <w:r>
        <w:rPr>
          <w:szCs w:val="22"/>
          <w:lang w:eastAsia="sv-SE"/>
        </w:rPr>
        <w:t>ning of the industrial biomass pre-treatment prototype, installed at the Tereos</w:t>
      </w:r>
      <w:r>
        <w:rPr>
          <w:rStyle w:val="FootnoteReference"/>
          <w:szCs w:val="22"/>
          <w:lang w:eastAsia="sv-SE"/>
        </w:rPr>
        <w:footnoteReference w:id="177"/>
      </w:r>
      <w:r>
        <w:rPr>
          <w:szCs w:val="22"/>
          <w:lang w:eastAsia="sv-SE"/>
        </w:rPr>
        <w:t xml:space="preserve"> sugar plant in Bucy le Long, in the Aisne area of northern France. Unit reception tests will continue in 2017, prior to a phase dedicated to the acquisition of the parameters </w:t>
      </w:r>
      <w:r>
        <w:rPr>
          <w:szCs w:val="22"/>
          <w:lang w:eastAsia="sv-SE"/>
        </w:rPr>
        <w:t>required to validate the industrial scale-up of the technology. Axens</w:t>
      </w:r>
      <w:r>
        <w:rPr>
          <w:rStyle w:val="FootnoteReference"/>
          <w:szCs w:val="22"/>
          <w:lang w:eastAsia="sv-SE"/>
        </w:rPr>
        <w:footnoteReference w:id="178"/>
      </w:r>
      <w:r>
        <w:rPr>
          <w:szCs w:val="22"/>
          <w:lang w:eastAsia="sv-SE"/>
        </w:rPr>
        <w:t xml:space="preserve"> will market the process from 2017.</w:t>
      </w:r>
    </w:p>
    <w:p w:rsidR="006E1BDE" w:rsidRDefault="00244DD3">
      <w:pPr>
        <w:pStyle w:val="Caption"/>
        <w:rPr>
          <w:szCs w:val="22"/>
        </w:rPr>
      </w:pPr>
      <w:r>
        <w:rPr>
          <w:szCs w:val="22"/>
        </w:rPr>
        <w:t>Figure 29: The FUTUROL pilot plant at Pomacle, France</w:t>
      </w:r>
    </w:p>
    <w:p w:rsidR="006E1BDE" w:rsidRDefault="00244DD3">
      <w:pPr>
        <w:jc w:val="center"/>
        <w:rPr>
          <w:szCs w:val="22"/>
          <w:lang w:eastAsia="sv-SE"/>
        </w:rPr>
      </w:pPr>
      <w:r>
        <w:rPr>
          <w:rFonts w:cs="Arial"/>
          <w:noProof/>
          <w:color w:val="0B2D4C"/>
          <w:szCs w:val="22"/>
          <w:lang w:eastAsia="en-GB"/>
        </w:rPr>
        <w:drawing>
          <wp:inline distT="0" distB="0" distL="0" distR="0">
            <wp:extent cx="3314700" cy="2204276"/>
            <wp:effectExtent l="0" t="0" r="0" b="5715"/>
            <wp:docPr id="4117" name="Picture 4117">
              <a:hlinkClick xmlns:a="http://schemas.openxmlformats.org/drawingml/2006/main" r:id="rId46" tooltip="&quot;The Futurol bioethanol pilot plant is located in the ARD industrial Pomacle-Bazancourt biorefinery site near Remis in Marne county, north-eastern France. Image courtesy of Groupe THOMAS MARKO &amp; ASSOCI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chemicals-technology.com/wp-content/uploads/sites/25/2017/12/1-futurol-project.jpg">
                      <a:hlinkClick r:id="rId46" tooltip="&quot;The Futurol bioethanol pilot plant is located in the ARD industrial Pomacle-Bazancourt biorefinery site near Remis in Marne county, north-eastern France. Image courtesy of Groupe THOMAS MARKO &amp; ASSOCIS.&quo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322956" cy="2209766"/>
                    </a:xfrm>
                    <a:prstGeom prst="rect">
                      <a:avLst/>
                    </a:prstGeom>
                    <a:noFill/>
                    <a:ln>
                      <a:noFill/>
                    </a:ln>
                  </pic:spPr>
                </pic:pic>
              </a:graphicData>
            </a:graphic>
          </wp:inline>
        </w:drawing>
      </w:r>
    </w:p>
    <w:p w:rsidR="006E1BDE" w:rsidRDefault="00244DD3">
      <w:pPr>
        <w:rPr>
          <w:szCs w:val="22"/>
          <w:lang w:eastAsia="sv-SE"/>
        </w:rPr>
      </w:pPr>
      <w:r>
        <w:rPr>
          <w:szCs w:val="22"/>
          <w:lang w:eastAsia="sv-SE"/>
        </w:rPr>
        <w:t xml:space="preserve">The Futurol technology includes hydrothermal pre-treatment technology followed by SSF (hexoses and pentoses) to produce bioethanol for biofuels and sustainable chemistry. The plant comprises the following process steps: grinding, pre-treatment, hydrolysis </w:t>
      </w:r>
      <w:r>
        <w:rPr>
          <w:szCs w:val="22"/>
          <w:lang w:eastAsia="sv-SE"/>
        </w:rPr>
        <w:t>&amp; fermentation, enzyme production, yeast propagation, distillation, lignin separation, stillage recycling, soluble sugars recovery.</w:t>
      </w:r>
    </w:p>
    <w:p w:rsidR="006E1BDE" w:rsidRDefault="00244DD3">
      <w:pPr>
        <w:pStyle w:val="Heading3"/>
        <w:rPr>
          <w:szCs w:val="22"/>
        </w:rPr>
      </w:pPr>
      <w:bookmarkStart w:id="76" w:name="_Toc516598393"/>
      <w:r>
        <w:rPr>
          <w:szCs w:val="22"/>
        </w:rPr>
        <w:t>Cellulosic alcohols in India</w:t>
      </w:r>
      <w:bookmarkEnd w:id="76"/>
    </w:p>
    <w:p w:rsidR="006E1BDE" w:rsidRDefault="00244DD3">
      <w:pPr>
        <w:rPr>
          <w:szCs w:val="22"/>
          <w:lang w:eastAsia="sv-SE"/>
        </w:rPr>
      </w:pPr>
      <w:r>
        <w:rPr>
          <w:szCs w:val="22"/>
          <w:lang w:eastAsia="sv-SE"/>
        </w:rPr>
        <w:t>The government of India is promoting biofuels for mainly for energy security. The Indian mandat</w:t>
      </w:r>
      <w:r>
        <w:rPr>
          <w:szCs w:val="22"/>
          <w:lang w:eastAsia="sv-SE"/>
        </w:rPr>
        <w:t>ory Ethanol Program commenced on January 1, 2003. The production of bioethanol as well as total volume of ethanol used for blending with petrol has increased significantly since its inception. The blend percentage in petrol has been in the range of 2 to 3.</w:t>
      </w:r>
      <w:r>
        <w:rPr>
          <w:szCs w:val="22"/>
          <w:lang w:eastAsia="sv-SE"/>
        </w:rPr>
        <w:t>5% in the last few years. At present only final (C heavy) molasses have been used as feedstock which is inadequate. In view of this limitation of availability of final molasses, it became essential to examine cellulosic feedstocks which can be used for pro</w:t>
      </w:r>
      <w:r>
        <w:rPr>
          <w:szCs w:val="22"/>
          <w:lang w:eastAsia="sv-SE"/>
        </w:rPr>
        <w:t xml:space="preserve">ducing Ethanol. </w:t>
      </w:r>
    </w:p>
    <w:p w:rsidR="006E1BDE" w:rsidRDefault="00244DD3">
      <w:pPr>
        <w:rPr>
          <w:szCs w:val="22"/>
          <w:lang w:eastAsia="sv-SE"/>
        </w:rPr>
      </w:pPr>
      <w:r>
        <w:rPr>
          <w:szCs w:val="22"/>
          <w:lang w:eastAsia="sv-SE"/>
        </w:rPr>
        <w:t>It is proposed to set up 12 plants based on cellulosic ethanol by public sector OMCs in various locations in India. In addition, some private companies may also set up such plants. Table 12 gives a list of cellulosic bio-ethanol projects p</w:t>
      </w:r>
      <w:r>
        <w:rPr>
          <w:szCs w:val="22"/>
          <w:lang w:eastAsia="sv-SE"/>
        </w:rPr>
        <w:t>roposed to be set up in India. These will be based on Indian technologies and eventually EU technologies. Table 13 presents the Indian technology providers and plants.</w:t>
      </w:r>
    </w:p>
    <w:p w:rsidR="006E1BDE" w:rsidRDefault="00244DD3">
      <w:pPr>
        <w:pStyle w:val="Caption"/>
        <w:rPr>
          <w:szCs w:val="22"/>
        </w:rPr>
      </w:pPr>
      <w:r>
        <w:rPr>
          <w:szCs w:val="22"/>
        </w:rPr>
        <w:t>Table 12: Cellulosic Bio-ethanol Projects Proposed to be established in India</w:t>
      </w:r>
    </w:p>
    <w:tbl>
      <w:tblPr>
        <w:tblStyle w:val="GridTable5Dark-Accent11"/>
        <w:tblW w:w="0" w:type="auto"/>
        <w:tblLook w:val="04A0" w:firstRow="1" w:lastRow="0" w:firstColumn="1" w:lastColumn="0" w:noHBand="0" w:noVBand="1"/>
      </w:tblPr>
      <w:tblGrid>
        <w:gridCol w:w="517"/>
        <w:gridCol w:w="216"/>
        <w:gridCol w:w="1067"/>
        <w:gridCol w:w="1311"/>
        <w:gridCol w:w="1447"/>
        <w:gridCol w:w="1253"/>
        <w:gridCol w:w="956"/>
        <w:gridCol w:w="153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gridSpan w:val="2"/>
            <w:vAlign w:val="center"/>
            <w:hideMark/>
          </w:tcPr>
          <w:p w:rsidR="006E1BDE" w:rsidRDefault="00244DD3">
            <w:pPr>
              <w:jc w:val="center"/>
              <w:rPr>
                <w:rFonts w:eastAsia="Calibri" w:cs="Arial"/>
                <w:color w:val="FFFFFF"/>
              </w:rPr>
            </w:pPr>
            <w:r>
              <w:rPr>
                <w:rFonts w:eastAsia="Calibri" w:cs="Arial"/>
                <w:color w:val="FFFFFF"/>
              </w:rPr>
              <w:t>S No.</w:t>
            </w:r>
          </w:p>
        </w:tc>
        <w:tc>
          <w:tcPr>
            <w:tcW w:w="0" w:type="auto"/>
            <w:vAlign w:val="center"/>
            <w:hideMark/>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Loca</w:t>
            </w:r>
            <w:r>
              <w:rPr>
                <w:rFonts w:eastAsia="Calibri" w:cs="Arial"/>
                <w:color w:val="FFFFFF"/>
              </w:rPr>
              <w:t>tion</w:t>
            </w:r>
          </w:p>
        </w:tc>
        <w:tc>
          <w:tcPr>
            <w:tcW w:w="0" w:type="auto"/>
            <w:vAlign w:val="center"/>
            <w:hideMark/>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Name of State</w:t>
            </w:r>
          </w:p>
        </w:tc>
        <w:tc>
          <w:tcPr>
            <w:tcW w:w="0" w:type="auto"/>
            <w:vAlign w:val="center"/>
            <w:hideMark/>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Name of Company</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Technology Supplier</w:t>
            </w:r>
          </w:p>
        </w:tc>
        <w:tc>
          <w:tcPr>
            <w:tcW w:w="0" w:type="auto"/>
            <w:vAlign w:val="center"/>
            <w:hideMark/>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Capacity</w:t>
            </w:r>
          </w:p>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(KLPD)</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rFonts w:eastAsia="Calibri" w:cs="Arial"/>
                <w:color w:val="FFFFFF"/>
              </w:rPr>
            </w:pPr>
            <w:r>
              <w:rPr>
                <w:rFonts w:eastAsia="Calibri" w:cs="Arial"/>
                <w:color w:val="FFFFFF"/>
              </w:rPr>
              <w:t>Expected date of commissioning</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gridSpan w:val="2"/>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Bhatinda</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Hindustan Petroleum Corporation Limited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Institute of Chemical Technology</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w:t>
            </w:r>
          </w:p>
        </w:tc>
        <w:tc>
          <w:tcPr>
            <w:tcW w:w="0" w:type="auto"/>
            <w:gridSpan w:val="2"/>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Panipat</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Haryana</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Indian Oil Corporation Limited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Praj Industries</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3</w:t>
            </w:r>
          </w:p>
        </w:tc>
        <w:tc>
          <w:tcPr>
            <w:tcW w:w="0" w:type="auto"/>
            <w:gridSpan w:val="2"/>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Bina</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Madhya Pradesh</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Bharat Petroleum Corporation Limited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Times New Roman" w:cs="Times New Roman"/>
                <w:color w:val="3B3A39"/>
              </w:rPr>
              <w:t>Institute of Chemical Technology</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4</w:t>
            </w:r>
          </w:p>
        </w:tc>
        <w:tc>
          <w:tcPr>
            <w:tcW w:w="0" w:type="auto"/>
            <w:gridSpan w:val="2"/>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Numaligarh</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Assam</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Numaligarh Refineries Ltd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Chempolis, Finland</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pPr>
            <w:r>
              <w:t>5</w:t>
            </w:r>
          </w:p>
        </w:tc>
        <w:tc>
          <w:tcPr>
            <w:tcW w:w="0" w:type="auto"/>
            <w:gridSpan w:val="2"/>
            <w:vAlign w:val="center"/>
            <w:hideMark/>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Bargarh</w:t>
            </w:r>
          </w:p>
        </w:tc>
        <w:tc>
          <w:tcPr>
            <w:tcW w:w="0" w:type="auto"/>
            <w:vAlign w:val="center"/>
            <w:hideMark/>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Odisha</w:t>
            </w:r>
          </w:p>
        </w:tc>
        <w:tc>
          <w:tcPr>
            <w:tcW w:w="0" w:type="auto"/>
            <w:vAlign w:val="center"/>
            <w:hideMark/>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Bharat Petroleum Corporation Limited</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Praj Industries</w:t>
            </w:r>
          </w:p>
        </w:tc>
        <w:tc>
          <w:tcPr>
            <w:tcW w:w="0" w:type="auto"/>
            <w:vAlign w:val="center"/>
            <w:hideMark/>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6</w:t>
            </w:r>
          </w:p>
        </w:tc>
        <w:tc>
          <w:tcPr>
            <w:tcW w:w="0" w:type="auto"/>
            <w:gridSpan w:val="2"/>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Dahej</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Gujarat</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Indian Oil Corporation</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Praj Industries</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7</w:t>
            </w:r>
          </w:p>
        </w:tc>
        <w:tc>
          <w:tcPr>
            <w:tcW w:w="0" w:type="auto"/>
            <w:gridSpan w:val="2"/>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Aurangabad</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Maharashtra</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Bharat Petroleum Corporation Ltd.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hideMark/>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2020 -2022</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8</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Hardoi</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Uttar Pradesh</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Hindustan Petroleum Corporation Limited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2020 -2022</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9</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Bihar</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Hindustan Petroleum Corporation Limited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2020 -2022</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10</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West Godwari</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Andhra Pradesh</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Hindustan Petroleum Corporation Limited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2020 -2022</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11</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Uttar Pradesh</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Indian Oil Corporation Limited</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2020 -2022</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12</w:t>
            </w:r>
          </w:p>
        </w:tc>
        <w:tc>
          <w:tcPr>
            <w:tcW w:w="0" w:type="auto"/>
            <w:gridSpan w:val="2"/>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Harihar</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Karnataka</w:t>
            </w:r>
          </w:p>
        </w:tc>
        <w:tc>
          <w:tcPr>
            <w:tcW w:w="0" w:type="auto"/>
            <w:vAlign w:val="center"/>
            <w:hideMark/>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 xml:space="preserve">Mangalore </w:t>
            </w:r>
            <w:r>
              <w:rPr>
                <w:rFonts w:eastAsia="Calibri" w:cs="Arial"/>
                <w:color w:val="333333"/>
              </w:rPr>
              <w:t>Refinery &amp; Petrochemical Ltd.</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t>
            </w:r>
          </w:p>
        </w:tc>
        <w:tc>
          <w:tcPr>
            <w:tcW w:w="0" w:type="auto"/>
            <w:vAlign w:val="center"/>
            <w:hideMark/>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2019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13</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Gorakhpur</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Utttar Pradesh</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Indian Oil Corporation Limited</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Indian Oil Corporation</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2022</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14</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Location</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Gujarat</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CVC Ltd</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Beta Renewable</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15</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Locations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Gujarat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CVC Ltd</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Arial"/>
                <w:color w:val="333333"/>
              </w:rPr>
              <w:t>Beta Renewable</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16</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Location</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CVC Ltd</w:t>
            </w:r>
          </w:p>
        </w:tc>
        <w:tc>
          <w:tcPr>
            <w:tcW w:w="0" w:type="auto"/>
            <w:vAlign w:val="center"/>
          </w:tcPr>
          <w:p w:rsidR="006E1BDE" w:rsidRDefault="00244DD3">
            <w:pPr>
              <w:spacing w:after="200"/>
              <w:jc w:val="center"/>
              <w:cnfStyle w:val="000000000000" w:firstRow="0" w:lastRow="0" w:firstColumn="0" w:lastColumn="0" w:oddVBand="0" w:evenVBand="0" w:oddHBand="0" w:evenHBand="0" w:firstRowFirstColumn="0" w:firstRowLastColumn="0" w:lastRowFirstColumn="0" w:lastRowLastColumn="0"/>
              <w:rPr>
                <w:rFonts w:eastAsia="Calibri" w:cs="Times New Roman"/>
              </w:rPr>
            </w:pPr>
            <w:r>
              <w:rPr>
                <w:rFonts w:eastAsia="Calibri" w:cs="Arial"/>
                <w:color w:val="333333"/>
              </w:rPr>
              <w:t>Beta Renewable</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16</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Locations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CVC Ltd</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Times New Roman"/>
              </w:rPr>
            </w:pPr>
            <w:r>
              <w:rPr>
                <w:rFonts w:eastAsia="Calibri" w:cs="Arial"/>
                <w:color w:val="333333"/>
              </w:rPr>
              <w:t>Beta Renewable</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100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18</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Fatehgarh Saheb</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JAP Innogy</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Not decided</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Q1 2020</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19</w:t>
            </w:r>
          </w:p>
        </w:tc>
        <w:tc>
          <w:tcPr>
            <w:tcW w:w="0" w:type="auto"/>
            <w:gridSpan w:val="2"/>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Patiala</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JAP Innogy</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Not decided</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200</w:t>
            </w:r>
          </w:p>
        </w:tc>
        <w:tc>
          <w:tcPr>
            <w:tcW w:w="0" w:type="auto"/>
            <w:vAlign w:val="center"/>
          </w:tcPr>
          <w:p w:rsidR="006E1BDE" w:rsidRDefault="00244DD3">
            <w:pPr>
              <w:keepNext/>
              <w:jc w:val="center"/>
              <w:cnfStyle w:val="000000100000" w:firstRow="0" w:lastRow="0" w:firstColumn="0" w:lastColumn="0" w:oddVBand="0" w:evenVBand="0" w:oddHBand="1" w:evenHBand="0" w:firstRowFirstColumn="0" w:firstRowLastColumn="0" w:lastRowFirstColumn="0" w:lastRowLastColumn="0"/>
              <w:rPr>
                <w:rFonts w:eastAsia="Calibri" w:cs="Arial"/>
                <w:color w:val="333333"/>
              </w:rPr>
            </w:pPr>
            <w:r>
              <w:rPr>
                <w:rFonts w:eastAsia="Calibri" w:cs="Arial"/>
                <w:color w:val="333333"/>
              </w:rPr>
              <w:t>Q3 2020</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20</w:t>
            </w:r>
          </w:p>
        </w:tc>
        <w:tc>
          <w:tcPr>
            <w:tcW w:w="0" w:type="auto"/>
            <w:gridSpan w:val="2"/>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Sangrur</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Punjab</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JAP Innogy</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Not decided</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200</w:t>
            </w:r>
          </w:p>
        </w:tc>
        <w:tc>
          <w:tcPr>
            <w:tcW w:w="0" w:type="auto"/>
            <w:vAlign w:val="center"/>
          </w:tcPr>
          <w:p w:rsidR="006E1BDE" w:rsidRDefault="00244DD3">
            <w:pPr>
              <w:keepNext/>
              <w:jc w:val="center"/>
              <w:cnfStyle w:val="000000000000" w:firstRow="0" w:lastRow="0" w:firstColumn="0" w:lastColumn="0" w:oddVBand="0" w:evenVBand="0" w:oddHBand="0" w:evenHBand="0" w:firstRowFirstColumn="0" w:firstRowLastColumn="0" w:lastRowFirstColumn="0" w:lastRowLastColumn="0"/>
              <w:rPr>
                <w:rFonts w:eastAsia="Calibri" w:cs="Arial"/>
                <w:color w:val="333333"/>
              </w:rPr>
            </w:pPr>
            <w:r>
              <w:rPr>
                <w:rFonts w:eastAsia="Calibri" w:cs="Arial"/>
                <w:color w:val="333333"/>
              </w:rPr>
              <w:t>Q2 2021</w:t>
            </w:r>
          </w:p>
        </w:tc>
      </w:tr>
    </w:tbl>
    <w:p w:rsidR="006E1BDE" w:rsidRDefault="006E1BDE">
      <w:pPr>
        <w:rPr>
          <w:szCs w:val="22"/>
          <w:lang w:eastAsia="sv-SE"/>
        </w:rPr>
      </w:pPr>
    </w:p>
    <w:p w:rsidR="006E1BDE" w:rsidRDefault="00244DD3">
      <w:pPr>
        <w:pStyle w:val="Caption"/>
        <w:rPr>
          <w:szCs w:val="22"/>
        </w:rPr>
      </w:pPr>
      <w:r>
        <w:rPr>
          <w:szCs w:val="22"/>
        </w:rPr>
        <w:t>Table</w:t>
      </w:r>
      <w:r>
        <w:rPr>
          <w:szCs w:val="22"/>
        </w:rPr>
        <w:t xml:space="preserve"> 13: Indian Technology providers and plants</w:t>
      </w:r>
    </w:p>
    <w:tbl>
      <w:tblPr>
        <w:tblStyle w:val="GridTable5Dark-Accent11"/>
        <w:tblW w:w="0" w:type="auto"/>
        <w:tblLook w:val="04A0" w:firstRow="1" w:lastRow="0" w:firstColumn="1" w:lastColumn="0" w:noHBand="0" w:noVBand="1"/>
      </w:tblPr>
      <w:tblGrid>
        <w:gridCol w:w="421"/>
        <w:gridCol w:w="1997"/>
        <w:gridCol w:w="1831"/>
        <w:gridCol w:w="1828"/>
        <w:gridCol w:w="1650"/>
        <w:gridCol w:w="57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Technology Developer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Production Capacity</w:t>
            </w:r>
          </w:p>
          <w:p w:rsidR="006E1BDE" w:rsidRDefault="00244DD3">
            <w:pPr>
              <w:jc w:val="center"/>
              <w:cnfStyle w:val="100000000000" w:firstRow="1" w:lastRow="0" w:firstColumn="0" w:lastColumn="0" w:oddVBand="0" w:evenVBand="0" w:oddHBand="0" w:evenHBand="0" w:firstRowFirstColumn="0" w:firstRowLastColumn="0" w:lastRowFirstColumn="0" w:lastRowLastColumn="0"/>
            </w:pPr>
            <w:r>
              <w:t>t/yr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pPr>
            <w: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Praj Industries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Daund, Pune, India</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1000</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2017</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8</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DBT-ICT/ India Glycol</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Kashipur, India</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3</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2010</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7</w:t>
            </w:r>
          </w:p>
        </w:tc>
      </w:tr>
    </w:tbl>
    <w:p w:rsidR="006E1BDE" w:rsidRDefault="006E1BDE">
      <w:pPr>
        <w:rPr>
          <w:szCs w:val="22"/>
          <w:lang w:eastAsia="sv-SE"/>
        </w:rPr>
      </w:pPr>
    </w:p>
    <w:p w:rsidR="006E1BDE" w:rsidRDefault="00244DD3">
      <w:pPr>
        <w:rPr>
          <w:szCs w:val="22"/>
          <w:lang w:eastAsia="sv-SE"/>
        </w:rPr>
      </w:pPr>
      <w:r>
        <w:rPr>
          <w:b/>
          <w:szCs w:val="22"/>
          <w:lang w:eastAsia="sv-SE"/>
        </w:rPr>
        <w:t>Praj Industries</w:t>
      </w:r>
      <w:r>
        <w:rPr>
          <w:rStyle w:val="FootnoteReference"/>
          <w:szCs w:val="22"/>
          <w:lang w:eastAsia="sv-SE"/>
        </w:rPr>
        <w:footnoteReference w:id="179"/>
      </w:r>
      <w:r>
        <w:rPr>
          <w:szCs w:val="22"/>
          <w:lang w:eastAsia="sv-SE"/>
        </w:rPr>
        <w:t xml:space="preserve">, a large company with global sales of first generation bioethanol plants has developed its propriety technology for cellulosic ethanol. The demonstration plant is a continuous one with a capacity of 3 KLPD of Ethanol based on 12 TPD of feedstock in </w:t>
      </w:r>
      <w:r>
        <w:rPr>
          <w:b/>
          <w:szCs w:val="22"/>
          <w:lang w:eastAsia="sv-SE"/>
        </w:rPr>
        <w:t>Daund,</w:t>
      </w:r>
      <w:r>
        <w:rPr>
          <w:b/>
          <w:szCs w:val="22"/>
          <w:lang w:eastAsia="sv-SE"/>
        </w:rPr>
        <w:t xml:space="preserve"> in Pune</w:t>
      </w:r>
      <w:r>
        <w:rPr>
          <w:szCs w:val="22"/>
          <w:lang w:eastAsia="sv-SE"/>
        </w:rPr>
        <w:t xml:space="preserve"> district. The plant started commissioning in May 2017 and it became fully operational before the end of 2017. Based on successful trials and due diligence of this technology by IOCL &amp; BPCL, it has entered into MOU to set up 3 cellulosic ethanol pl</w:t>
      </w:r>
      <w:r>
        <w:rPr>
          <w:szCs w:val="22"/>
          <w:lang w:eastAsia="sv-SE"/>
        </w:rPr>
        <w:t>ants at Panipat in state of Haryana and Dahej in Gujarat for Indian Oil Corporation, and at Bargarh in Odisha for Bharat Petroleum Corporation Limited. All these plants will be of 100 KLPD of bio-ethanol capacity each with a biomass requirement of around 4</w:t>
      </w:r>
      <w:r>
        <w:rPr>
          <w:szCs w:val="22"/>
          <w:lang w:eastAsia="sv-SE"/>
        </w:rPr>
        <w:t>00 TPD each.</w:t>
      </w:r>
    </w:p>
    <w:p w:rsidR="006E1BDE" w:rsidRDefault="00244DD3">
      <w:pPr>
        <w:pStyle w:val="Caption"/>
        <w:rPr>
          <w:szCs w:val="22"/>
        </w:rPr>
      </w:pPr>
      <w:r>
        <w:rPr>
          <w:szCs w:val="22"/>
        </w:rPr>
        <w:t>Figure 30: Views of the Praj Industries demonstration plant in Daund, in Pune district</w:t>
      </w:r>
    </w:p>
    <w:p w:rsidR="006E1BDE" w:rsidRDefault="00244DD3">
      <w:pPr>
        <w:jc w:val="center"/>
        <w:rPr>
          <w:szCs w:val="22"/>
          <w:lang w:eastAsia="sv-SE"/>
        </w:rPr>
      </w:pPr>
      <w:r>
        <w:rPr>
          <w:noProof/>
          <w:szCs w:val="22"/>
          <w:lang w:eastAsia="en-GB"/>
        </w:rPr>
        <w:drawing>
          <wp:inline distT="0" distB="0" distL="0" distR="0">
            <wp:extent cx="2573020" cy="1713230"/>
            <wp:effectExtent l="0" t="0" r="0" b="1270"/>
            <wp:docPr id="4101" name="Picture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73020" cy="1713230"/>
                    </a:xfrm>
                    <a:prstGeom prst="rect">
                      <a:avLst/>
                    </a:prstGeom>
                    <a:noFill/>
                  </pic:spPr>
                </pic:pic>
              </a:graphicData>
            </a:graphic>
          </wp:inline>
        </w:drawing>
      </w:r>
      <w:r>
        <w:rPr>
          <w:noProof/>
          <w:szCs w:val="22"/>
          <w:lang w:eastAsia="en-GB"/>
        </w:rPr>
        <w:drawing>
          <wp:inline distT="0" distB="0" distL="0" distR="0">
            <wp:extent cx="2554605" cy="1706880"/>
            <wp:effectExtent l="0" t="0" r="0" b="7620"/>
            <wp:docPr id="4103" name="Picture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4605" cy="1706880"/>
                    </a:xfrm>
                    <a:prstGeom prst="rect">
                      <a:avLst/>
                    </a:prstGeom>
                    <a:noFill/>
                  </pic:spPr>
                </pic:pic>
              </a:graphicData>
            </a:graphic>
          </wp:inline>
        </w:drawing>
      </w:r>
    </w:p>
    <w:p w:rsidR="006E1BDE" w:rsidRDefault="00244DD3">
      <w:pPr>
        <w:rPr>
          <w:szCs w:val="22"/>
          <w:lang w:eastAsia="sv-SE"/>
        </w:rPr>
      </w:pPr>
      <w:r>
        <w:rPr>
          <w:szCs w:val="22"/>
          <w:lang w:eastAsia="sv-SE"/>
        </w:rPr>
        <w:t xml:space="preserve">Based on funding from Department of Biotechnology (DBT), Government of India, the </w:t>
      </w:r>
      <w:r>
        <w:rPr>
          <w:b/>
          <w:szCs w:val="22"/>
          <w:lang w:eastAsia="sv-SE"/>
        </w:rPr>
        <w:t>Institute of Chemical Technology</w:t>
      </w:r>
      <w:r>
        <w:rPr>
          <w:szCs w:val="22"/>
          <w:lang w:eastAsia="sv-SE"/>
        </w:rPr>
        <w:t xml:space="preserve"> (ICT) has developed commercial technology which has been demonstrated at India Glycol Ltd (IGL), </w:t>
      </w:r>
      <w:r>
        <w:rPr>
          <w:b/>
          <w:szCs w:val="22"/>
          <w:lang w:eastAsia="sv-SE"/>
        </w:rPr>
        <w:t>Kashipur</w:t>
      </w:r>
      <w:r>
        <w:rPr>
          <w:rStyle w:val="FootnoteReference"/>
          <w:szCs w:val="22"/>
          <w:lang w:eastAsia="sv-SE"/>
        </w:rPr>
        <w:footnoteReference w:id="180"/>
      </w:r>
      <w:r>
        <w:rPr>
          <w:szCs w:val="22"/>
          <w:lang w:eastAsia="sv-SE"/>
        </w:rPr>
        <w:t xml:space="preserve"> on continuous processing pilot plant. The process is based on a novel two step continuous enzyme process with rapid reaction rates and reduction in </w:t>
      </w:r>
      <w:r>
        <w:rPr>
          <w:szCs w:val="22"/>
          <w:lang w:eastAsia="sv-SE"/>
        </w:rPr>
        <w:t>enzyme dosage and reaction time resulting in more than 90 % yield of sugars from biomass. The ethanol yield is &gt; 300 L/Ton biomass.</w:t>
      </w:r>
    </w:p>
    <w:p w:rsidR="006E1BDE" w:rsidRDefault="00244DD3">
      <w:pPr>
        <w:pStyle w:val="Caption"/>
        <w:rPr>
          <w:szCs w:val="22"/>
        </w:rPr>
      </w:pPr>
      <w:r>
        <w:rPr>
          <w:szCs w:val="22"/>
        </w:rPr>
        <w:t>Figure 31: View of the demonstration plant at India Glycol Ltd (IGL), Kashipur</w:t>
      </w:r>
      <w:r>
        <w:rPr>
          <w:szCs w:val="22"/>
          <w:vertAlign w:val="superscript"/>
        </w:rPr>
        <w:footnoteReference w:id="181"/>
      </w:r>
    </w:p>
    <w:p w:rsidR="006E1BDE" w:rsidRDefault="00244DD3">
      <w:pPr>
        <w:jc w:val="center"/>
        <w:rPr>
          <w:szCs w:val="22"/>
          <w:lang w:eastAsia="sv-SE"/>
        </w:rPr>
      </w:pPr>
      <w:r>
        <w:rPr>
          <w:noProof/>
          <w:szCs w:val="22"/>
          <w:lang w:eastAsia="en-GB"/>
        </w:rPr>
        <w:drawing>
          <wp:inline distT="0" distB="0" distL="0" distR="0">
            <wp:extent cx="3759702" cy="2369867"/>
            <wp:effectExtent l="0" t="0" r="0" b="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IGL.jpg.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763118" cy="2372021"/>
                    </a:xfrm>
                    <a:prstGeom prst="rect">
                      <a:avLst/>
                    </a:prstGeom>
                    <a:noFill/>
                    <a:ln>
                      <a:noFill/>
                    </a:ln>
                  </pic:spPr>
                </pic:pic>
              </a:graphicData>
            </a:graphic>
          </wp:inline>
        </w:drawing>
      </w:r>
    </w:p>
    <w:p w:rsidR="006E1BDE" w:rsidRDefault="00244DD3">
      <w:pPr>
        <w:pStyle w:val="Heading3"/>
        <w:rPr>
          <w:szCs w:val="22"/>
        </w:rPr>
      </w:pPr>
      <w:bookmarkStart w:id="77" w:name="_Toc516598394"/>
      <w:r>
        <w:rPr>
          <w:szCs w:val="22"/>
        </w:rPr>
        <w:t>Biomethane</w:t>
      </w:r>
      <w:bookmarkEnd w:id="77"/>
    </w:p>
    <w:p w:rsidR="006E1BDE" w:rsidRDefault="00244DD3">
      <w:pPr>
        <w:rPr>
          <w:szCs w:val="22"/>
          <w:lang w:eastAsia="sv-SE"/>
        </w:rPr>
      </w:pPr>
      <w:r>
        <w:rPr>
          <w:szCs w:val="22"/>
          <w:lang w:eastAsia="sv-SE"/>
        </w:rPr>
        <w:t>Anaerobic digestion is microbia</w:t>
      </w:r>
      <w:r>
        <w:rPr>
          <w:szCs w:val="22"/>
          <w:lang w:eastAsia="sv-SE"/>
        </w:rPr>
        <w:t>l conversion of organic materials to methane and carbon dioxide in the absence of oxygen. The product gas from farm digesters is typically around 60% methane, although higher levels have been reported. The typical methane content from landfill sites is low</w:t>
      </w:r>
      <w:r>
        <w:rPr>
          <w:szCs w:val="22"/>
          <w:lang w:eastAsia="sv-SE"/>
        </w:rPr>
        <w:t>er at 50–55%. Digestion is particularly suitable for residues with high moisture content, as drying is not required. The biogas can be used for heat with minimal processing, or for power generation in engines and (after upgrading to methane quality by remo</w:t>
      </w:r>
      <w:r>
        <w:rPr>
          <w:szCs w:val="22"/>
          <w:lang w:eastAsia="sv-SE"/>
        </w:rPr>
        <w:t>val of carbon dioxide and other components) in fuel cells, injecting it to the natural gas grid or as gaseous fuel for transport applications. This requires increasingly stringent quality specifications. Landfill gas produced from landfill sites may contai</w:t>
      </w:r>
      <w:r>
        <w:rPr>
          <w:szCs w:val="22"/>
          <w:lang w:eastAsia="sv-SE"/>
        </w:rPr>
        <w:t>n high concentrations of various contaminants (such as acid components) that need to be removed before upgrading to biomethane quality. Landfill sites have typically long operational times (20-25 years) and the landfill gas is collected through a system of</w:t>
      </w:r>
      <w:r>
        <w:rPr>
          <w:szCs w:val="22"/>
          <w:lang w:eastAsia="sv-SE"/>
        </w:rPr>
        <w:t xml:space="preserve"> wells, which collect and pipe the gas to the user. However as pressure grows to reduce land filling by legislation in the European Union, this resource is expected to reduce in the long term. On-farm or industrial digesters using farm wastes, industrial f</w:t>
      </w:r>
      <w:r>
        <w:rPr>
          <w:szCs w:val="22"/>
          <w:lang w:eastAsia="sv-SE"/>
        </w:rPr>
        <w:t>ood wastes and household wastes are becoming more widely used for smaller scale applications. The wastewater industry in particular has successfully and effectively used digestion for in-plant power generation for many years. In the EU the last years sever</w:t>
      </w:r>
      <w:r>
        <w:rPr>
          <w:szCs w:val="22"/>
          <w:lang w:eastAsia="sv-SE"/>
        </w:rPr>
        <w:t xml:space="preserve">al anaerobic digesters operate with energy crops. The solid residues and process waters after digestion contain dissolved organics and inorganics as well as non-digested solids. Depending of the feed, these residues can have a value as e.g. fertilizers or </w:t>
      </w:r>
      <w:r>
        <w:rPr>
          <w:szCs w:val="22"/>
          <w:lang w:eastAsia="sv-SE"/>
        </w:rPr>
        <w:t>may require further treatments if they are to be disposed. Figure 32 shows the generalized pathways to produce biomethane from anaerobic digestion.</w:t>
      </w:r>
    </w:p>
    <w:p w:rsidR="006E1BDE" w:rsidRDefault="00244DD3">
      <w:pPr>
        <w:pStyle w:val="Caption"/>
        <w:rPr>
          <w:szCs w:val="22"/>
        </w:rPr>
      </w:pPr>
      <w:r>
        <w:rPr>
          <w:szCs w:val="22"/>
        </w:rPr>
        <w:t>Figure 32: Biomethane production from anaerobic digestion</w:t>
      </w:r>
    </w:p>
    <w:p w:rsidR="006E1BDE" w:rsidRDefault="00244DD3">
      <w:pPr>
        <w:rPr>
          <w:szCs w:val="22"/>
          <w:lang w:eastAsia="sv-SE"/>
        </w:rPr>
      </w:pPr>
      <w:r>
        <w:rPr>
          <w:noProof/>
          <w:lang w:eastAsia="en-GB"/>
        </w:rPr>
        <w:drawing>
          <wp:inline distT="0" distB="0" distL="0" distR="0">
            <wp:extent cx="5191125" cy="336232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1125" cy="3362325"/>
                    </a:xfrm>
                    <a:prstGeom prst="rect">
                      <a:avLst/>
                    </a:prstGeom>
                    <a:noFill/>
                    <a:ln>
                      <a:noFill/>
                    </a:ln>
                  </pic:spPr>
                </pic:pic>
              </a:graphicData>
            </a:graphic>
          </wp:inline>
        </w:drawing>
      </w:r>
    </w:p>
    <w:p w:rsidR="006E1BDE" w:rsidRDefault="006E1BDE">
      <w:pPr>
        <w:pStyle w:val="Heading3"/>
        <w:numPr>
          <w:ilvl w:val="0"/>
          <w:numId w:val="0"/>
        </w:numPr>
        <w:rPr>
          <w:szCs w:val="22"/>
        </w:rPr>
      </w:pPr>
    </w:p>
    <w:p w:rsidR="006E1BDE" w:rsidRDefault="00244DD3">
      <w:pPr>
        <w:pStyle w:val="Heading3"/>
      </w:pPr>
      <w:bookmarkStart w:id="78" w:name="_Toc516598395"/>
      <w:r>
        <w:t>Biomethane in the EU</w:t>
      </w:r>
      <w:bookmarkEnd w:id="78"/>
    </w:p>
    <w:p w:rsidR="006E1BDE" w:rsidRDefault="00244DD3">
      <w:pPr>
        <w:rPr>
          <w:szCs w:val="22"/>
          <w:lang w:eastAsia="sv-SE"/>
        </w:rPr>
      </w:pPr>
      <w:r>
        <w:rPr>
          <w:lang w:eastAsia="sv-SE"/>
        </w:rPr>
        <w:t xml:space="preserve">Biomethane from </w:t>
      </w:r>
      <w:r>
        <w:rPr>
          <w:szCs w:val="22"/>
          <w:lang w:eastAsia="sv-SE"/>
        </w:rPr>
        <w:t>anaerobic</w:t>
      </w:r>
      <w:r>
        <w:rPr>
          <w:lang w:eastAsia="sv-SE"/>
        </w:rPr>
        <w:t xml:space="preserve"> </w:t>
      </w:r>
      <w:r>
        <w:rPr>
          <w:lang w:eastAsia="sv-SE"/>
        </w:rPr>
        <w:t xml:space="preserve">digestion is a commercial technology in the EU. </w:t>
      </w:r>
      <w:r>
        <w:rPr>
          <w:szCs w:val="22"/>
          <w:lang w:eastAsia="sv-SE"/>
        </w:rPr>
        <w:t>There are more than 17,000 biogas plants in the EU and the majority of them are decentralized CHP facilities. About 400 of them produce biomethane with the majority of such plants in Germany, Sweden and the U</w:t>
      </w:r>
      <w:r>
        <w:rPr>
          <w:szCs w:val="22"/>
          <w:lang w:eastAsia="sv-SE"/>
        </w:rPr>
        <w:t>K. The biomethane is mainly injected into the natural gas grid and in few cases it is used in captive fleets where centralized filling stations are available.</w:t>
      </w:r>
    </w:p>
    <w:p w:rsidR="006E1BDE" w:rsidRDefault="00244DD3">
      <w:pPr>
        <w:rPr>
          <w:szCs w:val="22"/>
          <w:lang w:eastAsia="sv-SE"/>
        </w:rPr>
      </w:pPr>
      <w:r>
        <w:rPr>
          <w:szCs w:val="22"/>
          <w:lang w:eastAsia="sv-SE"/>
        </w:rPr>
        <w:t>Both anaerobic digestion plants and upgrading of the biogas to biomethane are fully commercial te</w:t>
      </w:r>
      <w:r>
        <w:rPr>
          <w:szCs w:val="22"/>
          <w:lang w:eastAsia="sv-SE"/>
        </w:rPr>
        <w:t>chnologies with several technology providers; therefore only 3 recent examples of large scale plants will be provided in Table 14.</w:t>
      </w:r>
    </w:p>
    <w:p w:rsidR="006E1BDE" w:rsidRDefault="00244DD3">
      <w:pPr>
        <w:pStyle w:val="Caption"/>
        <w:rPr>
          <w:szCs w:val="22"/>
        </w:rPr>
      </w:pPr>
      <w:r>
        <w:rPr>
          <w:szCs w:val="22"/>
        </w:rPr>
        <w:t>Table 14: Recent plants producing biomethane from anaerobic digestion</w:t>
      </w:r>
    </w:p>
    <w:tbl>
      <w:tblPr>
        <w:tblStyle w:val="GridTable5Dark-Accent11"/>
        <w:tblW w:w="0" w:type="auto"/>
        <w:tblLook w:val="04A0" w:firstRow="1" w:lastRow="0" w:firstColumn="1" w:lastColumn="0" w:noHBand="0" w:noVBand="1"/>
      </w:tblPr>
      <w:tblGrid>
        <w:gridCol w:w="424"/>
        <w:gridCol w:w="2673"/>
        <w:gridCol w:w="1658"/>
        <w:gridCol w:w="1665"/>
        <w:gridCol w:w="1308"/>
        <w:gridCol w:w="569"/>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rPr>
                <w:b w:val="0"/>
              </w:rP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Technology Developer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 xml:space="preserve">Production </w:t>
            </w:r>
            <w:r>
              <w:rPr>
                <w:b w:val="0"/>
              </w:rPr>
              <w:t>Capacity</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Malmberg/Västblekinge Miljö AB</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Mörrum, Sweden</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400 Nm³/h</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2</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Biogest Biogas/Greener for Life Ltd</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Somerset, UK</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380 Nm³/h</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2015</w:t>
            </w:r>
          </w:p>
        </w:tc>
        <w:tc>
          <w:tcPr>
            <w:tcW w:w="0" w:type="auto"/>
            <w:vAlign w:val="center"/>
          </w:tcPr>
          <w:p w:rsidR="006E1BDE" w:rsidRDefault="00244DD3">
            <w:pPr>
              <w:jc w:val="center"/>
              <w:cnfStyle w:val="000000000000" w:firstRow="0" w:lastRow="0" w:firstColumn="0" w:lastColumn="0" w:oddVBand="0" w:evenVBand="0" w:oddHBand="0" w:evenHBand="0" w:firstRowFirstColumn="0" w:firstRowLastColumn="0" w:lastRowFirstColumn="0" w:lastRowLastColumn="0"/>
            </w:pPr>
            <w:r>
              <w:t>9</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3</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VERBIO</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Schwedt, Germany</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12 t/d compressed Bio-CH4</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2015</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bl>
    <w:p w:rsidR="006E1BDE" w:rsidRDefault="006E1BDE">
      <w:pPr>
        <w:rPr>
          <w:szCs w:val="22"/>
          <w:lang w:eastAsia="sv-SE"/>
        </w:rPr>
      </w:pPr>
    </w:p>
    <w:p w:rsidR="006E1BDE" w:rsidRDefault="00244DD3">
      <w:pPr>
        <w:rPr>
          <w:szCs w:val="22"/>
          <w:lang w:eastAsia="sv-SE"/>
        </w:rPr>
      </w:pPr>
      <w:r>
        <w:rPr>
          <w:b/>
          <w:szCs w:val="22"/>
          <w:lang w:eastAsia="sv-SE"/>
        </w:rPr>
        <w:t xml:space="preserve">Malmberg’s </w:t>
      </w:r>
      <w:r>
        <w:rPr>
          <w:szCs w:val="22"/>
          <w:lang w:eastAsia="sv-SE"/>
        </w:rPr>
        <w:t xml:space="preserve">upgrading plant </w:t>
      </w:r>
      <w:r>
        <w:rPr>
          <w:szCs w:val="22"/>
          <w:lang w:eastAsia="sv-SE"/>
        </w:rPr>
        <w:t>in</w:t>
      </w:r>
      <w:r>
        <w:rPr>
          <w:b/>
          <w:szCs w:val="22"/>
          <w:lang w:eastAsia="sv-SE"/>
        </w:rPr>
        <w:t xml:space="preserve"> Mörrum</w:t>
      </w:r>
      <w:r>
        <w:rPr>
          <w:rStyle w:val="FootnoteReference"/>
          <w:szCs w:val="22"/>
          <w:lang w:eastAsia="sv-SE"/>
        </w:rPr>
        <w:footnoteReference w:id="182"/>
      </w:r>
      <w:r>
        <w:rPr>
          <w:szCs w:val="22"/>
          <w:lang w:eastAsia="sv-SE"/>
        </w:rPr>
        <w:t>, Sweden, upgrades biogas to 99% pure bio-methane. The gas is sold to the international power company EON, which provides it to their vehicle gas stations. Three municipalities are filling up their local busses with the resulting bio-methane. The</w:t>
      </w:r>
      <w:r>
        <w:rPr>
          <w:szCs w:val="22"/>
          <w:lang w:eastAsia="sv-SE"/>
        </w:rPr>
        <w:t xml:space="preserve"> feedstock is organic waste collected from around 250,000 people resulting in 18,000 tonnes of pure organic waste which is then dry digested producing 3,000 tonnes of biogas. The waste also generates 7,500 tonnes for composting and 7,500 tonnes recycles to</w:t>
      </w:r>
      <w:r>
        <w:rPr>
          <w:szCs w:val="22"/>
          <w:lang w:eastAsia="sv-SE"/>
        </w:rPr>
        <w:t xml:space="preserve"> fertilization. The digestion method used is solid state fermentation, meaning that food waste is digested in from the way it is generated, i.e. with no additional water mixed in. This provides a stable and energy efficient operation where the food waste i</w:t>
      </w:r>
      <w:r>
        <w:rPr>
          <w:szCs w:val="22"/>
          <w:lang w:eastAsia="sv-SE"/>
        </w:rPr>
        <w:t xml:space="preserve">s digested. </w:t>
      </w:r>
    </w:p>
    <w:p w:rsidR="006E1BDE" w:rsidRDefault="00244DD3">
      <w:pPr>
        <w:pStyle w:val="Caption"/>
        <w:rPr>
          <w:szCs w:val="22"/>
        </w:rPr>
      </w:pPr>
      <w:r>
        <w:rPr>
          <w:szCs w:val="22"/>
        </w:rPr>
        <w:t>Figure 33: The biomethane plant of Malmberg/Västblekinge Miljö AB in Mörrum, Sweden</w:t>
      </w:r>
    </w:p>
    <w:p w:rsidR="006E1BDE" w:rsidRDefault="00244DD3">
      <w:pPr>
        <w:jc w:val="center"/>
        <w:rPr>
          <w:szCs w:val="22"/>
          <w:lang w:eastAsia="sv-SE"/>
        </w:rPr>
      </w:pPr>
      <w:r>
        <w:rPr>
          <w:noProof/>
          <w:szCs w:val="22"/>
          <w:lang w:eastAsia="en-GB"/>
        </w:rPr>
        <w:drawing>
          <wp:inline distT="0" distB="0" distL="0" distR="0">
            <wp:extent cx="3486150" cy="2470594"/>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87169" cy="2471316"/>
                    </a:xfrm>
                    <a:prstGeom prst="rect">
                      <a:avLst/>
                    </a:prstGeom>
                    <a:noFill/>
                    <a:ln>
                      <a:noFill/>
                    </a:ln>
                  </pic:spPr>
                </pic:pic>
              </a:graphicData>
            </a:graphic>
          </wp:inline>
        </w:drawing>
      </w:r>
    </w:p>
    <w:p w:rsidR="006E1BDE" w:rsidRDefault="00244DD3">
      <w:pPr>
        <w:rPr>
          <w:szCs w:val="22"/>
          <w:lang w:eastAsia="sv-SE"/>
        </w:rPr>
      </w:pPr>
      <w:r>
        <w:rPr>
          <w:b/>
          <w:szCs w:val="22"/>
          <w:lang w:eastAsia="sv-SE"/>
        </w:rPr>
        <w:t>The Biogest Biogas</w:t>
      </w:r>
      <w:r>
        <w:rPr>
          <w:rStyle w:val="FootnoteReference"/>
          <w:b/>
          <w:szCs w:val="22"/>
          <w:lang w:eastAsia="sv-SE"/>
        </w:rPr>
        <w:footnoteReference w:id="183"/>
      </w:r>
      <w:r>
        <w:rPr>
          <w:b/>
          <w:szCs w:val="22"/>
          <w:lang w:eastAsia="sv-SE"/>
        </w:rPr>
        <w:t>/Greener for Life Ltd in Somerset</w:t>
      </w:r>
      <w:r>
        <w:rPr>
          <w:szCs w:val="22"/>
          <w:lang w:eastAsia="sv-SE"/>
        </w:rPr>
        <w:t xml:space="preserve"> plant produces at least 4,000 MWh electricity and 7.2 million m3 of biogas/4.3 million m3 of biomethane </w:t>
      </w:r>
      <w:r>
        <w:rPr>
          <w:szCs w:val="22"/>
          <w:lang w:eastAsia="sv-SE"/>
        </w:rPr>
        <w:t>(40GWh) yearly using optimized feedstock mix of cattle slurry and manure, sugar beet, grass silage and maize silage. The plant provides a good symbiosis with the farming community in the area since the farm wastes are delivered to the plant allowing the fa</w:t>
      </w:r>
      <w:r>
        <w:rPr>
          <w:szCs w:val="22"/>
          <w:lang w:eastAsia="sv-SE"/>
        </w:rPr>
        <w:t>rmer to manage the manure and crop rotations more efficiently. The design is based on an external main digester and an internal post-digester. The main digester is a ring canal, thereby allowing a controlled plug flow.</w:t>
      </w:r>
    </w:p>
    <w:p w:rsidR="006E1BDE" w:rsidRDefault="00244DD3">
      <w:pPr>
        <w:pStyle w:val="Caption"/>
        <w:rPr>
          <w:szCs w:val="22"/>
        </w:rPr>
      </w:pPr>
      <w:r>
        <w:rPr>
          <w:szCs w:val="22"/>
        </w:rPr>
        <w:t>Figure 34: The biomethane plant of Bi</w:t>
      </w:r>
      <w:r>
        <w:rPr>
          <w:szCs w:val="22"/>
        </w:rPr>
        <w:t>ogest Biogas/Greener for Life Ltd in Somerset, the UK</w:t>
      </w:r>
    </w:p>
    <w:p w:rsidR="006E1BDE" w:rsidRDefault="00244DD3">
      <w:pPr>
        <w:jc w:val="center"/>
        <w:rPr>
          <w:szCs w:val="22"/>
          <w:lang w:eastAsia="sv-SE"/>
        </w:rPr>
      </w:pPr>
      <w:r>
        <w:rPr>
          <w:noProof/>
          <w:szCs w:val="22"/>
          <w:lang w:eastAsia="en-GB"/>
        </w:rPr>
        <w:drawing>
          <wp:inline distT="0" distB="0" distL="0" distR="0">
            <wp:extent cx="3181350" cy="2097678"/>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182929" cy="2098719"/>
                    </a:xfrm>
                    <a:prstGeom prst="rect">
                      <a:avLst/>
                    </a:prstGeom>
                    <a:noFill/>
                    <a:ln>
                      <a:noFill/>
                    </a:ln>
                  </pic:spPr>
                </pic:pic>
              </a:graphicData>
            </a:graphic>
          </wp:inline>
        </w:drawing>
      </w:r>
    </w:p>
    <w:p w:rsidR="006E1BDE" w:rsidRDefault="00244DD3">
      <w:pPr>
        <w:rPr>
          <w:szCs w:val="22"/>
          <w:lang w:eastAsia="sv-SE"/>
        </w:rPr>
      </w:pPr>
      <w:r>
        <w:rPr>
          <w:b/>
          <w:szCs w:val="22"/>
          <w:lang w:eastAsia="sv-SE"/>
        </w:rPr>
        <w:t>VERBIO’s</w:t>
      </w:r>
      <w:r>
        <w:rPr>
          <w:rStyle w:val="FootnoteReference"/>
          <w:b/>
          <w:szCs w:val="22"/>
          <w:lang w:eastAsia="sv-SE"/>
        </w:rPr>
        <w:footnoteReference w:id="184"/>
      </w:r>
      <w:r>
        <w:rPr>
          <w:b/>
          <w:szCs w:val="22"/>
          <w:lang w:eastAsia="sv-SE"/>
        </w:rPr>
        <w:t xml:space="preserve"> bio-methane plant in Schwedt</w:t>
      </w:r>
      <w:r>
        <w:rPr>
          <w:szCs w:val="22"/>
          <w:lang w:eastAsia="sv-SE"/>
        </w:rPr>
        <w:t>/Germany is operated with 100% straw as raw material. The biogas is purified and conditioned to natural gas quality and fed into the natural gas grid. This so cal</w:t>
      </w:r>
      <w:r>
        <w:rPr>
          <w:szCs w:val="22"/>
          <w:lang w:eastAsia="sv-SE"/>
        </w:rPr>
        <w:t>led bio-methane is sold as bio-component into the CNG fuel market. All main types of straw are tested in use and theses ones have already been approved to be suitable for the plant: wheat straw, barley straw, rye straw, corn straw, rape straw and triticale</w:t>
      </w:r>
      <w:r>
        <w:rPr>
          <w:szCs w:val="22"/>
          <w:lang w:eastAsia="sv-SE"/>
        </w:rPr>
        <w:t xml:space="preserve"> straw. The fermentation residues are brought back to the fields as a high-quality bio-fertilizer. The straw-bio-methane plant has been designed as an extension to the already existing bioethanol-bio-methane plant of VERBIO Ethanol Schwedt GmbH.</w:t>
      </w:r>
    </w:p>
    <w:p w:rsidR="006E1BDE" w:rsidRDefault="00244DD3">
      <w:pPr>
        <w:pStyle w:val="Caption"/>
        <w:rPr>
          <w:szCs w:val="22"/>
        </w:rPr>
      </w:pPr>
      <w:r>
        <w:rPr>
          <w:szCs w:val="22"/>
        </w:rPr>
        <w:t>Figure 35:</w:t>
      </w:r>
      <w:r>
        <w:rPr>
          <w:szCs w:val="22"/>
        </w:rPr>
        <w:t xml:space="preserve"> The VERBIO biomethane gas plant in Schwedt, Germany (yellow outline)</w:t>
      </w:r>
    </w:p>
    <w:p w:rsidR="006E1BDE" w:rsidRDefault="00244DD3">
      <w:pPr>
        <w:jc w:val="center"/>
        <w:rPr>
          <w:szCs w:val="22"/>
          <w:lang w:eastAsia="sv-SE"/>
        </w:rPr>
      </w:pPr>
      <w:r>
        <w:rPr>
          <w:noProof/>
          <w:szCs w:val="22"/>
          <w:lang w:eastAsia="en-GB"/>
        </w:rPr>
        <w:drawing>
          <wp:inline distT="0" distB="0" distL="0" distR="0">
            <wp:extent cx="3228975" cy="20436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29985" cy="2044294"/>
                    </a:xfrm>
                    <a:prstGeom prst="rect">
                      <a:avLst/>
                    </a:prstGeom>
                    <a:noFill/>
                    <a:ln>
                      <a:noFill/>
                    </a:ln>
                  </pic:spPr>
                </pic:pic>
              </a:graphicData>
            </a:graphic>
          </wp:inline>
        </w:drawing>
      </w:r>
    </w:p>
    <w:p w:rsidR="006E1BDE" w:rsidRDefault="00244DD3">
      <w:pPr>
        <w:pStyle w:val="Heading3"/>
        <w:rPr>
          <w:szCs w:val="22"/>
        </w:rPr>
      </w:pPr>
      <w:bookmarkStart w:id="79" w:name="_Toc516598396"/>
      <w:r>
        <w:rPr>
          <w:szCs w:val="22"/>
        </w:rPr>
        <w:t>Biomethane in India</w:t>
      </w:r>
      <w:bookmarkEnd w:id="79"/>
    </w:p>
    <w:p w:rsidR="006E1BDE" w:rsidRDefault="00244DD3">
      <w:pPr>
        <w:rPr>
          <w:szCs w:val="22"/>
          <w:lang w:eastAsia="sv-SE"/>
        </w:rPr>
      </w:pPr>
      <w:r>
        <w:rPr>
          <w:szCs w:val="22"/>
          <w:lang w:eastAsia="sv-SE"/>
        </w:rPr>
        <w:t xml:space="preserve">Many medium scale and large-scale biogas and biomethane plants were set up using effluent of distilleries, breweries and other industries. In addition, biogas &amp; </w:t>
      </w:r>
      <w:r>
        <w:rPr>
          <w:szCs w:val="22"/>
          <w:lang w:eastAsia="sv-SE"/>
        </w:rPr>
        <w:t>biomethane plants based on sludge of Sewage Treatment Plant, MSW, crop residues, kitchen waste etc. have also been set up.  Till recently, biogas plants were used to produce electricity and steam (CHP), especially in distilleries. However, there is an incr</w:t>
      </w:r>
      <w:r>
        <w:rPr>
          <w:szCs w:val="22"/>
          <w:lang w:eastAsia="sv-SE"/>
        </w:rPr>
        <w:t xml:space="preserve">easing trend to set up bio-CNG plants in India. There is a largescale program to use crop residues such as rice straw for producing bio-CNG in which IOCL proposes to set up 2000 plant in India. An MOU for setting up of 42 plants by 2018 in Punjab has been </w:t>
      </w:r>
      <w:r>
        <w:rPr>
          <w:szCs w:val="22"/>
          <w:lang w:eastAsia="sv-SE"/>
        </w:rPr>
        <w:t>signed between IOCL and the State Government.  It proposed to scale the project to set up 400 plants consuming 10 million tonnes per year of biomass over the next 3 to 4 years.  These plants are projected to produce about 1,400 million kg per annum CNG and</w:t>
      </w:r>
      <w:r>
        <w:rPr>
          <w:szCs w:val="22"/>
          <w:lang w:eastAsia="sv-SE"/>
        </w:rPr>
        <w:t xml:space="preserve"> 6,000 million kg per annum manure. The plants, to be based on a new concept and technology, will be set up at a total investment of Rs 50 billion</w:t>
      </w:r>
      <w:r>
        <w:rPr>
          <w:rStyle w:val="FootnoteReference"/>
          <w:szCs w:val="22"/>
          <w:lang w:eastAsia="sv-SE"/>
        </w:rPr>
        <w:footnoteReference w:id="185"/>
      </w:r>
      <w:r>
        <w:rPr>
          <w:szCs w:val="22"/>
          <w:lang w:eastAsia="sv-SE"/>
        </w:rPr>
        <w:t>. From those plants below only one will be described since the technology is commercial.</w:t>
      </w:r>
    </w:p>
    <w:p w:rsidR="006E1BDE" w:rsidRDefault="00244DD3">
      <w:pPr>
        <w:pStyle w:val="Caption"/>
        <w:rPr>
          <w:szCs w:val="22"/>
        </w:rPr>
      </w:pPr>
      <w:r>
        <w:rPr>
          <w:szCs w:val="22"/>
        </w:rPr>
        <w:t>Table 15: Biomethane</w:t>
      </w:r>
      <w:r>
        <w:rPr>
          <w:szCs w:val="22"/>
        </w:rPr>
        <w:t xml:space="preserve"> plants in India</w:t>
      </w:r>
    </w:p>
    <w:tbl>
      <w:tblPr>
        <w:tblStyle w:val="GridTable5Dark-Accent11"/>
        <w:tblW w:w="0" w:type="auto"/>
        <w:tblLook w:val="04A0" w:firstRow="1" w:lastRow="0" w:firstColumn="1" w:lastColumn="0" w:noHBand="0" w:noVBand="1"/>
      </w:tblPr>
      <w:tblGrid>
        <w:gridCol w:w="1770"/>
        <w:gridCol w:w="1908"/>
        <w:gridCol w:w="1403"/>
        <w:gridCol w:w="1566"/>
        <w:gridCol w:w="1650"/>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jc w:val="center"/>
              <w:rPr>
                <w:rFonts w:eastAsia="Calibri" w:cs="Calibri"/>
                <w:b w:val="0"/>
              </w:rPr>
            </w:pPr>
            <w:r>
              <w:rPr>
                <w:rFonts w:eastAsia="Calibri" w:cs="Calibri"/>
              </w:rPr>
              <w:t>Name of Company</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Plant Location</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Feedstock</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Production Capacity of Biogas</w:t>
            </w:r>
          </w:p>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(M</w:t>
            </w:r>
            <w:r>
              <w:rPr>
                <w:rFonts w:eastAsia="Calibri" w:cs="Calibri"/>
                <w:vertAlign w:val="superscript"/>
              </w:rPr>
              <w:t>3</w:t>
            </w:r>
            <w:r>
              <w:rPr>
                <w:rFonts w:eastAsia="Calibri" w:cs="Calibri"/>
              </w:rPr>
              <w:t>/day)</w:t>
            </w:r>
          </w:p>
        </w:tc>
        <w:tc>
          <w:tcPr>
            <w:tcW w:w="0" w:type="auto"/>
            <w:vAlign w:val="center"/>
          </w:tcPr>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Production Capacity of BioCNG</w:t>
            </w:r>
          </w:p>
          <w:p w:rsidR="006E1BDE" w:rsidRDefault="00244DD3">
            <w:pPr>
              <w:keepNext/>
              <w:jc w:val="center"/>
              <w:cnfStyle w:val="100000000000" w:firstRow="1" w:lastRow="0" w:firstColumn="0" w:lastColumn="0" w:oddVBand="0" w:evenVBand="0" w:oddHBand="0" w:evenHBand="0" w:firstRowFirstColumn="0" w:firstRowLastColumn="0" w:lastRowFirstColumn="0" w:lastRowLastColumn="0"/>
              <w:rPr>
                <w:rFonts w:eastAsia="Calibri" w:cs="Calibri"/>
                <w:b w:val="0"/>
              </w:rPr>
            </w:pPr>
            <w:r>
              <w:rPr>
                <w:rFonts w:eastAsia="Calibri" w:cs="Calibri"/>
              </w:rPr>
              <w:t>(Kg/day)</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keepNext/>
              <w:spacing w:after="200"/>
              <w:jc w:val="center"/>
              <w:rPr>
                <w:rFonts w:eastAsia="Calibri" w:cs="Calibri"/>
              </w:rPr>
            </w:pPr>
            <w:r>
              <w:t>Green Elephant India Pvt. Ltd</w:t>
            </w:r>
          </w:p>
        </w:tc>
        <w:tc>
          <w:tcPr>
            <w:tcW w:w="0" w:type="auto"/>
            <w:vAlign w:val="center"/>
          </w:tcPr>
          <w:p w:rsidR="006E1BDE" w:rsidRDefault="00244DD3">
            <w:pPr>
              <w:keepNext/>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Bhuinj, Satara, Maharashtra</w:t>
            </w:r>
          </w:p>
        </w:tc>
        <w:tc>
          <w:tcPr>
            <w:tcW w:w="0" w:type="auto"/>
            <w:vAlign w:val="center"/>
          </w:tcPr>
          <w:p w:rsidR="006E1BDE" w:rsidRDefault="00244DD3">
            <w:pPr>
              <w:keepNext/>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Distillery Effluent</w:t>
            </w:r>
          </w:p>
        </w:tc>
        <w:tc>
          <w:tcPr>
            <w:tcW w:w="0" w:type="auto"/>
            <w:vAlign w:val="center"/>
          </w:tcPr>
          <w:p w:rsidR="006E1BDE" w:rsidRDefault="00244DD3">
            <w:pPr>
              <w:keepNext/>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28,000</w:t>
            </w:r>
          </w:p>
        </w:tc>
        <w:tc>
          <w:tcPr>
            <w:tcW w:w="0" w:type="auto"/>
            <w:vAlign w:val="center"/>
          </w:tcPr>
          <w:p w:rsidR="006E1BDE" w:rsidRDefault="00244DD3">
            <w:pPr>
              <w:keepNext/>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11,000</w:t>
            </w:r>
          </w:p>
        </w:tc>
      </w:tr>
      <w:tr w:rsidR="006E1BDE" w:rsidTr="006E1BDE">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spacing w:after="200"/>
              <w:jc w:val="center"/>
              <w:rPr>
                <w:rFonts w:eastAsia="Calibri" w:cs="Calibri"/>
              </w:rPr>
            </w:pPr>
            <w:r>
              <w:rPr>
                <w:rFonts w:eastAsia="Calibri" w:cs="Calibri"/>
              </w:rPr>
              <w:t xml:space="preserve">M/s Spectrum Renewable </w:t>
            </w:r>
            <w:r>
              <w:rPr>
                <w:rFonts w:eastAsia="Calibri" w:cs="Calibri"/>
              </w:rPr>
              <w:t>Energy Pvt. Ltd.,</w:t>
            </w:r>
          </w:p>
        </w:tc>
        <w:tc>
          <w:tcPr>
            <w:tcW w:w="0" w:type="auto"/>
            <w:vAlign w:val="center"/>
          </w:tcPr>
          <w:p w:rsidR="006E1BDE" w:rsidRDefault="00244DD3">
            <w:pPr>
              <w:spacing w:after="200"/>
              <w:jc w:val="center"/>
              <w:cnfStyle w:val="000000000000" w:firstRow="0" w:lastRow="0" w:firstColumn="0" w:lastColumn="0" w:oddVBand="0" w:evenVBand="0" w:oddHBand="0" w:evenHBand="0" w:firstRowFirstColumn="0" w:firstRowLastColumn="0" w:lastRowFirstColumn="0" w:lastRowLastColumn="0"/>
              <w:rPr>
                <w:rFonts w:eastAsia="Calibri" w:cs="Calibri"/>
              </w:rPr>
            </w:pPr>
            <w:r>
              <w:rPr>
                <w:rFonts w:eastAsia="Calibri" w:cs="Calibri"/>
              </w:rPr>
              <w:t>Warana nagar, Maharashtra</w:t>
            </w:r>
          </w:p>
        </w:tc>
        <w:tc>
          <w:tcPr>
            <w:tcW w:w="0" w:type="auto"/>
            <w:vAlign w:val="center"/>
          </w:tcPr>
          <w:p w:rsidR="006E1BDE" w:rsidRDefault="00244DD3">
            <w:pPr>
              <w:spacing w:after="200"/>
              <w:jc w:val="center"/>
              <w:cnfStyle w:val="000000000000" w:firstRow="0" w:lastRow="0" w:firstColumn="0" w:lastColumn="0" w:oddVBand="0" w:evenVBand="0" w:oddHBand="0" w:evenHBand="0" w:firstRowFirstColumn="0" w:firstRowLastColumn="0" w:lastRowFirstColumn="0" w:lastRowLastColumn="0"/>
              <w:rPr>
                <w:rFonts w:eastAsia="Calibri" w:cs="Calibri"/>
              </w:rPr>
            </w:pPr>
            <w:r>
              <w:rPr>
                <w:rFonts w:eastAsia="Calibri" w:cs="Calibri"/>
              </w:rPr>
              <w:t>Sugar press mud</w:t>
            </w:r>
          </w:p>
        </w:tc>
        <w:tc>
          <w:tcPr>
            <w:tcW w:w="0" w:type="auto"/>
            <w:vAlign w:val="center"/>
          </w:tcPr>
          <w:p w:rsidR="006E1BDE" w:rsidRDefault="00244DD3">
            <w:pPr>
              <w:spacing w:after="200"/>
              <w:jc w:val="center"/>
              <w:cnfStyle w:val="000000000000" w:firstRow="0" w:lastRow="0" w:firstColumn="0" w:lastColumn="0" w:oddVBand="0" w:evenVBand="0" w:oddHBand="0" w:evenHBand="0" w:firstRowFirstColumn="0" w:firstRowLastColumn="0" w:lastRowFirstColumn="0" w:lastRowLastColumn="0"/>
              <w:rPr>
                <w:rFonts w:eastAsia="Calibri" w:cs="Calibri"/>
              </w:rPr>
            </w:pPr>
            <w:r>
              <w:rPr>
                <w:rFonts w:eastAsia="Calibri" w:cs="Calibri"/>
              </w:rPr>
              <w:t>20,000</w:t>
            </w:r>
          </w:p>
        </w:tc>
        <w:tc>
          <w:tcPr>
            <w:tcW w:w="0" w:type="auto"/>
            <w:vAlign w:val="center"/>
          </w:tcPr>
          <w:p w:rsidR="006E1BDE" w:rsidRDefault="00244DD3">
            <w:pPr>
              <w:spacing w:after="200"/>
              <w:jc w:val="center"/>
              <w:cnfStyle w:val="000000000000" w:firstRow="0" w:lastRow="0" w:firstColumn="0" w:lastColumn="0" w:oddVBand="0" w:evenVBand="0" w:oddHBand="0" w:evenHBand="0" w:firstRowFirstColumn="0" w:firstRowLastColumn="0" w:lastRowFirstColumn="0" w:lastRowLastColumn="0"/>
              <w:rPr>
                <w:rFonts w:eastAsia="Calibri" w:cs="Calibri"/>
              </w:rPr>
            </w:pPr>
            <w:r>
              <w:rPr>
                <w:rFonts w:eastAsia="Calibri" w:cs="Calibri"/>
              </w:rPr>
              <w:t>8,000</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spacing w:after="200"/>
              <w:jc w:val="center"/>
              <w:rPr>
                <w:rFonts w:eastAsia="Calibri" w:cs="Calibri"/>
              </w:rPr>
            </w:pPr>
            <w:r>
              <w:t>Noble Exchange</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lang w:val="fr-BE"/>
              </w:rPr>
            </w:pPr>
            <w:r>
              <w:rPr>
                <w:lang w:val="fr-BE"/>
              </w:rPr>
              <w:t>Talegaon Industrial Zone, Pune, Maharashtra</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350 TPD of organic MSW</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rPr>
                <w:rFonts w:eastAsia="Calibri" w:cs="Calibri"/>
              </w:rPr>
              <w:t>?</w:t>
            </w:r>
          </w:p>
        </w:tc>
        <w:tc>
          <w:tcPr>
            <w:tcW w:w="0" w:type="auto"/>
            <w:vAlign w:val="center"/>
          </w:tcPr>
          <w:p w:rsidR="006E1BDE" w:rsidRDefault="00244DD3">
            <w:pPr>
              <w:spacing w:after="200"/>
              <w:jc w:val="center"/>
              <w:cnfStyle w:val="000000100000" w:firstRow="0" w:lastRow="0" w:firstColumn="0" w:lastColumn="0" w:oddVBand="0" w:evenVBand="0" w:oddHBand="1" w:evenHBand="0" w:firstRowFirstColumn="0" w:firstRowLastColumn="0" w:lastRowFirstColumn="0" w:lastRowLastColumn="0"/>
              <w:rPr>
                <w:rFonts w:eastAsia="Calibri" w:cs="Calibri"/>
              </w:rPr>
            </w:pPr>
            <w:r>
              <w:t>Biomethane 5657 TPA</w:t>
            </w:r>
          </w:p>
        </w:tc>
      </w:tr>
    </w:tbl>
    <w:p w:rsidR="006E1BDE" w:rsidRDefault="006E1BDE">
      <w:pPr>
        <w:rPr>
          <w:szCs w:val="22"/>
          <w:lang w:eastAsia="sv-SE"/>
        </w:rPr>
      </w:pPr>
    </w:p>
    <w:p w:rsidR="006E1BDE" w:rsidRDefault="00244DD3">
      <w:pPr>
        <w:rPr>
          <w:szCs w:val="22"/>
          <w:lang w:eastAsia="sv-SE"/>
        </w:rPr>
      </w:pPr>
      <w:r>
        <w:rPr>
          <w:szCs w:val="22"/>
          <w:lang w:eastAsia="sv-SE"/>
        </w:rPr>
        <w:t xml:space="preserve">Green Elephant has set up its first large scale biogas plant in India’s sugar belt at </w:t>
      </w:r>
      <w:r>
        <w:rPr>
          <w:b/>
          <w:szCs w:val="22"/>
          <w:lang w:eastAsia="sv-SE"/>
        </w:rPr>
        <w:t xml:space="preserve">Satara District </w:t>
      </w:r>
      <w:r>
        <w:rPr>
          <w:szCs w:val="22"/>
          <w:lang w:eastAsia="sv-SE"/>
        </w:rPr>
        <w:t xml:space="preserve">in Maharashtra in November 2010. It consumes approximately 200,000 m³ of press mud (organic sugarcane waste) per annum and generates approximately 8 </w:t>
      </w:r>
      <w:r>
        <w:rPr>
          <w:szCs w:val="22"/>
          <w:lang w:eastAsia="sv-SE"/>
        </w:rPr>
        <w:t>million m³ of gas per annum.</w:t>
      </w:r>
    </w:p>
    <w:p w:rsidR="006E1BDE" w:rsidRDefault="00244DD3">
      <w:pPr>
        <w:pStyle w:val="Caption"/>
        <w:rPr>
          <w:szCs w:val="22"/>
        </w:rPr>
      </w:pPr>
      <w:r>
        <w:rPr>
          <w:szCs w:val="22"/>
        </w:rPr>
        <w:t xml:space="preserve">Figure 36: The Green Elephant plant at Satara District in Maharashtra, View of the Purification System of Compressed Biomethane Plant </w:t>
      </w:r>
    </w:p>
    <w:p w:rsidR="006E1BDE" w:rsidRDefault="00244DD3">
      <w:pPr>
        <w:jc w:val="center"/>
        <w:rPr>
          <w:szCs w:val="22"/>
          <w:lang w:eastAsia="sv-SE"/>
        </w:rPr>
      </w:pPr>
      <w:r>
        <w:rPr>
          <w:noProof/>
          <w:szCs w:val="22"/>
          <w:lang w:eastAsia="en-GB"/>
        </w:rPr>
        <w:drawing>
          <wp:inline distT="0" distB="0" distL="0" distR="0">
            <wp:extent cx="3627120" cy="2468880"/>
            <wp:effectExtent l="0" t="0" r="0" b="7620"/>
            <wp:docPr id="4118" name="Picture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627120" cy="2468880"/>
                    </a:xfrm>
                    <a:prstGeom prst="rect">
                      <a:avLst/>
                    </a:prstGeom>
                    <a:noFill/>
                  </pic:spPr>
                </pic:pic>
              </a:graphicData>
            </a:graphic>
          </wp:inline>
        </w:drawing>
      </w:r>
    </w:p>
    <w:p w:rsidR="006E1BDE" w:rsidRDefault="00244DD3">
      <w:pPr>
        <w:rPr>
          <w:rFonts w:cs="Helvetica"/>
          <w:color w:val="000000"/>
          <w:szCs w:val="22"/>
          <w:shd w:val="clear" w:color="auto" w:fill="FFFFFF"/>
        </w:rPr>
      </w:pPr>
      <w:r>
        <w:rPr>
          <w:b/>
          <w:szCs w:val="22"/>
        </w:rPr>
        <w:t>Spectrum Renewable Energy Ltd</w:t>
      </w:r>
      <w:r>
        <w:rPr>
          <w:szCs w:val="22"/>
        </w:rPr>
        <w:t>, i</w:t>
      </w:r>
      <w:r>
        <w:rPr>
          <w:rFonts w:cs="Helvetica"/>
          <w:color w:val="000000"/>
          <w:szCs w:val="22"/>
          <w:shd w:val="clear" w:color="auto" w:fill="FFFFFF"/>
        </w:rPr>
        <w:t xml:space="preserve">n partnership with </w:t>
      </w:r>
      <w:r>
        <w:rPr>
          <w:rFonts w:cs="Helvetica"/>
          <w:b/>
          <w:color w:val="000000"/>
          <w:szCs w:val="22"/>
          <w:shd w:val="clear" w:color="auto" w:fill="FFFFFF"/>
        </w:rPr>
        <w:t>Warana Sugarcane Cooperative</w:t>
      </w:r>
      <w:r>
        <w:rPr>
          <w:rFonts w:cs="Helvetica"/>
          <w:color w:val="000000"/>
          <w:szCs w:val="22"/>
          <w:shd w:val="clear" w:color="auto" w:fill="FFFFFF"/>
        </w:rPr>
        <w:t>,</w:t>
      </w:r>
      <w:r>
        <w:rPr>
          <w:rStyle w:val="apple-converted-space"/>
          <w:rFonts w:cs="Helvetica"/>
          <w:color w:val="000000"/>
          <w:szCs w:val="22"/>
          <w:shd w:val="clear" w:color="auto" w:fill="FFFFFF"/>
        </w:rPr>
        <w:t> </w:t>
      </w:r>
      <w:r>
        <w:rPr>
          <w:szCs w:val="22"/>
        </w:rPr>
        <w:t>has</w:t>
      </w:r>
      <w:r>
        <w:rPr>
          <w:rFonts w:cs="Helvetica"/>
          <w:color w:val="333333"/>
          <w:szCs w:val="22"/>
        </w:rPr>
        <w:t xml:space="preserve"> one o</w:t>
      </w:r>
      <w:r>
        <w:rPr>
          <w:rFonts w:cs="Helvetica"/>
          <w:color w:val="333333"/>
          <w:szCs w:val="22"/>
        </w:rPr>
        <w:t>f the oldest large-scale biogas commercial plant in operation in the country in the state of Maharashtra. It produces biogas and compressed biomethane/Bio-CNG from 100 tonnes per day of press mud (filter cake of sugar mill) since November, 2012.</w:t>
      </w:r>
      <w:r>
        <w:rPr>
          <w:szCs w:val="22"/>
        </w:rPr>
        <w:t xml:space="preserve">  The produ</w:t>
      </w:r>
      <w:r>
        <w:rPr>
          <w:szCs w:val="22"/>
        </w:rPr>
        <w:t>ction of Bio-CNG varies from 4,000 to 7,500 kg/day. T</w:t>
      </w:r>
      <w:r>
        <w:rPr>
          <w:rFonts w:cs="Helvetica"/>
          <w:color w:val="000000"/>
          <w:szCs w:val="22"/>
          <w:shd w:val="clear" w:color="auto" w:fill="FFFFFF"/>
        </w:rPr>
        <w:t>he compressed biomethane in high pressure cylinders is being sold to industrial customers, and the nutrient-rich organic manure/soil conditioner is being sold to the cooperatives’ sugarcane farmers and i</w:t>
      </w:r>
      <w:r>
        <w:rPr>
          <w:rFonts w:cs="Helvetica"/>
          <w:color w:val="000000"/>
          <w:szCs w:val="22"/>
          <w:shd w:val="clear" w:color="auto" w:fill="FFFFFF"/>
        </w:rPr>
        <w:t>n the local agricultural markets.</w:t>
      </w:r>
    </w:p>
    <w:p w:rsidR="006E1BDE" w:rsidRDefault="00244DD3">
      <w:pPr>
        <w:pStyle w:val="Caption"/>
        <w:rPr>
          <w:szCs w:val="22"/>
        </w:rPr>
      </w:pPr>
      <w:r>
        <w:rPr>
          <w:szCs w:val="22"/>
        </w:rPr>
        <w:t>Figure 37: Compressed Biomethane Filling Section of Plant in Warna, Maharashtra</w:t>
      </w:r>
    </w:p>
    <w:p w:rsidR="006E1BDE" w:rsidRDefault="00244DD3">
      <w:pPr>
        <w:jc w:val="center"/>
        <w:rPr>
          <w:szCs w:val="22"/>
        </w:rPr>
      </w:pPr>
      <w:r>
        <w:rPr>
          <w:noProof/>
          <w:szCs w:val="22"/>
          <w:lang w:eastAsia="en-GB"/>
        </w:rPr>
        <w:drawing>
          <wp:inline distT="0" distB="0" distL="0" distR="0">
            <wp:extent cx="2924490" cy="2283229"/>
            <wp:effectExtent l="0" t="0" r="0" b="3175"/>
            <wp:docPr id="4120" name="Picture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s_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34904" cy="2291359"/>
                    </a:xfrm>
                    <a:prstGeom prst="rect">
                      <a:avLst/>
                    </a:prstGeom>
                    <a:noFill/>
                    <a:ln>
                      <a:noFill/>
                    </a:ln>
                  </pic:spPr>
                </pic:pic>
              </a:graphicData>
            </a:graphic>
          </wp:inline>
        </w:drawing>
      </w:r>
    </w:p>
    <w:p w:rsidR="006E1BDE" w:rsidRDefault="00244DD3">
      <w:pPr>
        <w:rPr>
          <w:szCs w:val="22"/>
        </w:rPr>
      </w:pPr>
      <w:r>
        <w:rPr>
          <w:b/>
          <w:bCs/>
          <w:szCs w:val="22"/>
        </w:rPr>
        <w:t>Noble Exchange Environment Solutions Pvt Ltd</w:t>
      </w:r>
      <w:r>
        <w:rPr>
          <w:bCs/>
          <w:szCs w:val="22"/>
        </w:rPr>
        <w:t xml:space="preserve"> (NEX)</w:t>
      </w:r>
      <w:r>
        <w:rPr>
          <w:szCs w:val="22"/>
        </w:rPr>
        <w:t> is funded by </w:t>
      </w:r>
      <w:r>
        <w:rPr>
          <w:bCs/>
          <w:szCs w:val="22"/>
        </w:rPr>
        <w:t>Adar Poonawala’s Clean City Movement, which is</w:t>
      </w:r>
      <w:r>
        <w:rPr>
          <w:szCs w:val="22"/>
        </w:rPr>
        <w:t xml:space="preserve"> supported by the promoters of the Serum Institute, along with Pune Municipal Corporation. It has implemented a biomethanation project with a capacity of 358 TPD of MSW food waste at a cost of Rs 650 million at </w:t>
      </w:r>
      <w:r>
        <w:rPr>
          <w:b/>
          <w:szCs w:val="22"/>
        </w:rPr>
        <w:t>Talegaon’</w:t>
      </w:r>
      <w:r>
        <w:rPr>
          <w:szCs w:val="22"/>
        </w:rPr>
        <w:t>s industrial zone 35 kms from Pune. </w:t>
      </w:r>
      <w:r>
        <w:rPr>
          <w:szCs w:val="22"/>
        </w:rPr>
        <w:t xml:space="preserve">This plant has zero discharge and zero fresh water requirement. The company has also set up a plant at </w:t>
      </w:r>
      <w:r>
        <w:rPr>
          <w:b/>
          <w:szCs w:val="22"/>
        </w:rPr>
        <w:t>Bengaluru</w:t>
      </w:r>
      <w:r>
        <w:rPr>
          <w:szCs w:val="22"/>
        </w:rPr>
        <w:t xml:space="preserve"> with capacity of 388 TPD of MSW food waste processing plant. With a combined annual capacity of 240,000 tonnes of food waste every year, the pl</w:t>
      </w:r>
      <w:r>
        <w:rPr>
          <w:szCs w:val="22"/>
        </w:rPr>
        <w:t>ants will produce 11,788 t/y of compressed Biogas and 43,000 t/y of Organic Manure</w:t>
      </w:r>
      <w:r>
        <w:rPr>
          <w:rStyle w:val="FootnoteReference"/>
          <w:szCs w:val="22"/>
        </w:rPr>
        <w:footnoteReference w:id="186"/>
      </w:r>
      <w:r>
        <w:rPr>
          <w:szCs w:val="22"/>
        </w:rPr>
        <w:t>.</w:t>
      </w:r>
    </w:p>
    <w:p w:rsidR="006E1BDE" w:rsidRDefault="00244DD3">
      <w:pPr>
        <w:pStyle w:val="Caption"/>
        <w:rPr>
          <w:szCs w:val="22"/>
        </w:rPr>
      </w:pPr>
      <w:r>
        <w:rPr>
          <w:szCs w:val="22"/>
        </w:rPr>
        <w:t>Figure 38: View of Digesters at Compressed Biomethane Plant in Talegaon, Maharashtra</w:t>
      </w:r>
    </w:p>
    <w:p w:rsidR="006E1BDE" w:rsidRDefault="00244DD3">
      <w:pPr>
        <w:jc w:val="center"/>
        <w:rPr>
          <w:szCs w:val="22"/>
        </w:rPr>
      </w:pPr>
      <w:r>
        <w:rPr>
          <w:noProof/>
          <w:szCs w:val="22"/>
          <w:lang w:eastAsia="en-GB"/>
        </w:rPr>
        <w:drawing>
          <wp:inline distT="0" distB="0" distL="0" distR="0">
            <wp:extent cx="4550149" cy="1895475"/>
            <wp:effectExtent l="0" t="0" r="3175" b="0"/>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moneylife.in/media/uploads/article/responsive/eco-fuel13716.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69089" cy="1903365"/>
                    </a:xfrm>
                    <a:prstGeom prst="rect">
                      <a:avLst/>
                    </a:prstGeom>
                    <a:noFill/>
                    <a:ln>
                      <a:noFill/>
                    </a:ln>
                  </pic:spPr>
                </pic:pic>
              </a:graphicData>
            </a:graphic>
          </wp:inline>
        </w:drawing>
      </w:r>
    </w:p>
    <w:p w:rsidR="006E1BDE" w:rsidRDefault="00244DD3">
      <w:pPr>
        <w:pStyle w:val="Heading2"/>
      </w:pPr>
      <w:bookmarkStart w:id="80" w:name="_Toc516598397"/>
      <w:r>
        <w:t>Algae</w:t>
      </w:r>
      <w:bookmarkEnd w:id="80"/>
    </w:p>
    <w:p w:rsidR="006E1BDE" w:rsidRDefault="00244DD3">
      <w:pPr>
        <w:pStyle w:val="Heading3"/>
        <w:rPr>
          <w:szCs w:val="22"/>
        </w:rPr>
      </w:pPr>
      <w:bookmarkStart w:id="81" w:name="_Toc516598398"/>
      <w:r>
        <w:rPr>
          <w:szCs w:val="22"/>
        </w:rPr>
        <w:t>Introduction</w:t>
      </w:r>
      <w:bookmarkEnd w:id="81"/>
    </w:p>
    <w:p w:rsidR="006E1BDE" w:rsidRDefault="00244DD3">
      <w:pPr>
        <w:rPr>
          <w:szCs w:val="22"/>
          <w:lang w:eastAsia="sv-SE"/>
        </w:rPr>
      </w:pPr>
      <w:r>
        <w:rPr>
          <w:szCs w:val="22"/>
          <w:lang w:eastAsia="sv-SE"/>
        </w:rPr>
        <w:t>There are numerous types of algae and their taxonomy is a science</w:t>
      </w:r>
      <w:r>
        <w:rPr>
          <w:szCs w:val="22"/>
          <w:lang w:eastAsia="sv-SE"/>
        </w:rPr>
        <w:t xml:space="preserve"> of its own however in general there are photosynthetic algae (including macro- and micro-algae) and photosynthetic cyanobacteria. Such aquatic biomass can be cultivated on non- arable land or even off-shore, using sea or brackish water, industrial carbon </w:t>
      </w:r>
      <w:r>
        <w:rPr>
          <w:szCs w:val="22"/>
          <w:lang w:eastAsia="sv-SE"/>
        </w:rPr>
        <w:t>dioxide as carbon source and wastewater as nutrient input (nitrogen and phosphorus). Aquatic biomass are energy crops that do not compete with food crops for land or other resources.</w:t>
      </w:r>
    </w:p>
    <w:p w:rsidR="006E1BDE" w:rsidRDefault="00244DD3">
      <w:pPr>
        <w:rPr>
          <w:szCs w:val="22"/>
          <w:lang w:eastAsia="sv-SE"/>
        </w:rPr>
      </w:pPr>
      <w:r>
        <w:rPr>
          <w:szCs w:val="22"/>
          <w:lang w:eastAsia="sv-SE"/>
        </w:rPr>
        <w:t xml:space="preserve">In general macro algae are grown in the sea in off-shore farms and their </w:t>
      </w:r>
      <w:r>
        <w:rPr>
          <w:szCs w:val="22"/>
          <w:lang w:eastAsia="sv-SE"/>
        </w:rPr>
        <w:t>main application is in food and proteins while microalgae are grown in open ponds and photo-bioreactors. Heterotrophic and mixotrophic algae are cultivated in stirred tank bioreactors or fermenters</w:t>
      </w:r>
      <w:r>
        <w:rPr>
          <w:rStyle w:val="FootnoteReference"/>
          <w:szCs w:val="22"/>
          <w:lang w:eastAsia="sv-SE"/>
        </w:rPr>
        <w:footnoteReference w:id="187"/>
      </w:r>
      <w:r>
        <w:rPr>
          <w:szCs w:val="22"/>
          <w:lang w:eastAsia="sv-SE"/>
        </w:rPr>
        <w:t>.</w:t>
      </w:r>
    </w:p>
    <w:p w:rsidR="006E1BDE" w:rsidRDefault="00244DD3">
      <w:pPr>
        <w:rPr>
          <w:szCs w:val="22"/>
          <w:lang w:eastAsia="sv-SE"/>
        </w:rPr>
      </w:pPr>
      <w:r>
        <w:rPr>
          <w:szCs w:val="22"/>
          <w:lang w:eastAsia="sv-SE"/>
        </w:rPr>
        <w:t xml:space="preserve"> In general algae by themselves cannot produce biofuels,</w:t>
      </w:r>
      <w:r>
        <w:rPr>
          <w:szCs w:val="22"/>
          <w:lang w:eastAsia="sv-SE"/>
        </w:rPr>
        <w:t xml:space="preserve"> however, it is an interesting way of producing biomass with high productivity per hectare per year that can be subsequently used in energy production from biomass. Algae can grow relative rapidly compared to other biomass and may contain valuable componen</w:t>
      </w:r>
      <w:r>
        <w:rPr>
          <w:szCs w:val="22"/>
          <w:lang w:eastAsia="sv-SE"/>
        </w:rPr>
        <w:t>ts such as of carbohydrates, proteins, lipids, pigments and vitamins that can be used in various applications including energy. Some species of algae can have a high lipid content (in the range of 20-25 dry wt%) while other species are known to produce dir</w:t>
      </w:r>
      <w:r>
        <w:rPr>
          <w:szCs w:val="22"/>
          <w:lang w:eastAsia="sv-SE"/>
        </w:rPr>
        <w:t>ectly H2, ethanol or alkanes under certain cultivation conditions</w:t>
      </w:r>
      <w:r>
        <w:rPr>
          <w:rStyle w:val="FootnoteReference"/>
          <w:szCs w:val="22"/>
          <w:lang w:eastAsia="sv-SE"/>
        </w:rPr>
        <w:footnoteReference w:id="188"/>
      </w:r>
      <w:r>
        <w:rPr>
          <w:szCs w:val="22"/>
          <w:lang w:eastAsia="sv-SE"/>
        </w:rPr>
        <w:t>.</w:t>
      </w:r>
    </w:p>
    <w:p w:rsidR="006E1BDE" w:rsidRDefault="00244DD3">
      <w:pPr>
        <w:rPr>
          <w:szCs w:val="22"/>
          <w:lang w:eastAsia="sv-SE"/>
        </w:rPr>
      </w:pPr>
      <w:r>
        <w:rPr>
          <w:szCs w:val="22"/>
          <w:lang w:eastAsia="sv-SE"/>
        </w:rPr>
        <w:t>The initial considerable interest for algal biofuels originated on the premises that</w:t>
      </w:r>
      <w:r>
        <w:rPr>
          <w:rStyle w:val="FootnoteReference"/>
          <w:szCs w:val="22"/>
          <w:lang w:eastAsia="sv-SE"/>
        </w:rPr>
        <w:footnoteReference w:id="189"/>
      </w:r>
      <w:r>
        <w:rPr>
          <w:szCs w:val="22"/>
          <w:lang w:eastAsia="sv-SE"/>
        </w:rPr>
        <w:t>:</w:t>
      </w:r>
    </w:p>
    <w:p w:rsidR="006E1BDE" w:rsidRDefault="00244DD3">
      <w:pPr>
        <w:pStyle w:val="ListParagraph"/>
        <w:ind w:left="572" w:hanging="215"/>
        <w:rPr>
          <w:szCs w:val="22"/>
          <w:lang w:eastAsia="sv-SE"/>
        </w:rPr>
      </w:pPr>
      <w:r>
        <w:rPr>
          <w:szCs w:val="22"/>
          <w:lang w:eastAsia="sv-SE"/>
        </w:rPr>
        <w:t xml:space="preserve">the </w:t>
      </w:r>
      <w:r>
        <w:rPr>
          <w:szCs w:val="22"/>
        </w:rPr>
        <w:t>lipids</w:t>
      </w:r>
      <w:r>
        <w:rPr>
          <w:szCs w:val="22"/>
          <w:lang w:eastAsia="sv-SE"/>
        </w:rPr>
        <w:t xml:space="preserve"> could be extracted relative easily and converted into biodiesel (fatty acid methyl ester),</w:t>
      </w:r>
    </w:p>
    <w:p w:rsidR="006E1BDE" w:rsidRDefault="00244DD3">
      <w:pPr>
        <w:pStyle w:val="ListParagraph"/>
        <w:ind w:left="572" w:hanging="215"/>
        <w:rPr>
          <w:szCs w:val="22"/>
          <w:lang w:eastAsia="sv-SE"/>
        </w:rPr>
      </w:pPr>
      <w:r>
        <w:rPr>
          <w:szCs w:val="22"/>
        </w:rPr>
        <w:t>algal</w:t>
      </w:r>
      <w:r>
        <w:rPr>
          <w:szCs w:val="22"/>
          <w:lang w:eastAsia="sv-SE"/>
        </w:rPr>
        <w:t xml:space="preserve"> farms can be established on non-arable land or in the sea, thus avoiding completion of land use,</w:t>
      </w:r>
    </w:p>
    <w:p w:rsidR="006E1BDE" w:rsidRDefault="00244DD3">
      <w:pPr>
        <w:pStyle w:val="ListParagraph"/>
        <w:ind w:left="572" w:hanging="215"/>
        <w:rPr>
          <w:szCs w:val="22"/>
          <w:lang w:eastAsia="sv-SE"/>
        </w:rPr>
      </w:pPr>
      <w:r>
        <w:rPr>
          <w:szCs w:val="22"/>
          <w:lang w:eastAsia="sv-SE"/>
        </w:rPr>
        <w:t xml:space="preserve">algae </w:t>
      </w:r>
      <w:r>
        <w:rPr>
          <w:szCs w:val="22"/>
        </w:rPr>
        <w:t>can</w:t>
      </w:r>
      <w:r>
        <w:rPr>
          <w:szCs w:val="22"/>
          <w:lang w:eastAsia="sv-SE"/>
        </w:rPr>
        <w:t xml:space="preserve"> grow almost in almost any kind of water (fresh, sea,</w:t>
      </w:r>
      <w:r>
        <w:rPr>
          <w:szCs w:val="22"/>
        </w:rPr>
        <w:t xml:space="preserve"> </w:t>
      </w:r>
      <w:r>
        <w:rPr>
          <w:szCs w:val="22"/>
          <w:lang w:eastAsia="sv-SE"/>
        </w:rPr>
        <w:t>brackish or waste water),</w:t>
      </w:r>
    </w:p>
    <w:p w:rsidR="006E1BDE" w:rsidRDefault="00244DD3">
      <w:pPr>
        <w:pStyle w:val="ListParagraph"/>
        <w:ind w:left="572" w:hanging="215"/>
        <w:rPr>
          <w:szCs w:val="22"/>
          <w:lang w:eastAsia="sv-SE"/>
        </w:rPr>
      </w:pPr>
      <w:r>
        <w:rPr>
          <w:szCs w:val="22"/>
          <w:lang w:eastAsia="sv-SE"/>
        </w:rPr>
        <w:t xml:space="preserve">they can exhibit high </w:t>
      </w:r>
      <w:r>
        <w:rPr>
          <w:szCs w:val="22"/>
        </w:rPr>
        <w:t>productivity</w:t>
      </w:r>
      <w:r>
        <w:rPr>
          <w:szCs w:val="22"/>
          <w:lang w:eastAsia="sv-SE"/>
        </w:rPr>
        <w:t xml:space="preserve"> in the range of 50-70 tonnes</w:t>
      </w:r>
      <w:r>
        <w:rPr>
          <w:szCs w:val="22"/>
          <w:lang w:eastAsia="sv-SE"/>
        </w:rPr>
        <w:t xml:space="preserve">/ha/year </w:t>
      </w:r>
    </w:p>
    <w:p w:rsidR="006E1BDE" w:rsidRDefault="00244DD3">
      <w:pPr>
        <w:rPr>
          <w:szCs w:val="22"/>
          <w:lang w:eastAsia="sv-SE"/>
        </w:rPr>
      </w:pPr>
      <w:r>
        <w:rPr>
          <w:szCs w:val="22"/>
          <w:lang w:eastAsia="sv-SE"/>
        </w:rPr>
        <w:t>Efforts have been undertaken by the industry and research community to increase the lipid contend of oleaginous strains either by genetic modifications or by severe stress conditions of nitrogen starvation. Although the results have been promisin</w:t>
      </w:r>
      <w:r>
        <w:rPr>
          <w:szCs w:val="22"/>
          <w:lang w:eastAsia="sv-SE"/>
        </w:rPr>
        <w:t>g it soon became apparent that the overall process economics are very high compared to the cost of fossil fuels due to the high processing cost of harvesting and drying. The industry has therefore turned its attention to small volumes high price products s</w:t>
      </w:r>
      <w:r>
        <w:rPr>
          <w:szCs w:val="22"/>
          <w:lang w:eastAsia="sv-SE"/>
        </w:rPr>
        <w:t>uch as components for pharmaceuticals, cosmetics, nutraceuticals and fish fodder while interest in the high volume low price biofuels approach has for the moment been significantly reduced.</w:t>
      </w:r>
    </w:p>
    <w:p w:rsidR="006E1BDE" w:rsidRDefault="00244DD3">
      <w:pPr>
        <w:rPr>
          <w:szCs w:val="22"/>
          <w:lang w:eastAsia="sv-SE"/>
        </w:rPr>
      </w:pPr>
      <w:r>
        <w:rPr>
          <w:szCs w:val="22"/>
          <w:lang w:eastAsia="sv-SE"/>
        </w:rPr>
        <w:t>Furthermore the siting of algae farms is critical in view of appro</w:t>
      </w:r>
      <w:r>
        <w:rPr>
          <w:szCs w:val="22"/>
          <w:lang w:eastAsia="sv-SE"/>
        </w:rPr>
        <w:t>priate climatic conditions, access to industrial parks, good logistics and type of land used</w:t>
      </w:r>
      <w:r>
        <w:rPr>
          <w:rStyle w:val="FootnoteReference"/>
          <w:szCs w:val="22"/>
          <w:lang w:eastAsia="sv-SE"/>
        </w:rPr>
        <w:footnoteReference w:id="190"/>
      </w:r>
      <w:r>
        <w:rPr>
          <w:szCs w:val="22"/>
          <w:lang w:eastAsia="sv-SE"/>
        </w:rPr>
        <w:t>.</w:t>
      </w:r>
    </w:p>
    <w:p w:rsidR="006E1BDE" w:rsidRDefault="00244DD3">
      <w:pPr>
        <w:rPr>
          <w:szCs w:val="22"/>
          <w:lang w:eastAsia="sv-SE"/>
        </w:rPr>
      </w:pPr>
      <w:r>
        <w:rPr>
          <w:szCs w:val="22"/>
          <w:lang w:eastAsia="sv-SE"/>
        </w:rPr>
        <w:t>The only exception remains that of using algae as a purification method in waste water treatment facilities since the algae produced under such conditions and ap</w:t>
      </w:r>
      <w:r>
        <w:rPr>
          <w:szCs w:val="22"/>
          <w:lang w:eastAsia="sv-SE"/>
        </w:rPr>
        <w:t>plications are not considered suitable for application other than energy.</w:t>
      </w:r>
    </w:p>
    <w:p w:rsidR="006E1BDE" w:rsidRDefault="00244DD3">
      <w:pPr>
        <w:rPr>
          <w:szCs w:val="22"/>
          <w:lang w:eastAsia="sv-SE"/>
        </w:rPr>
      </w:pPr>
      <w:r>
        <w:rPr>
          <w:szCs w:val="22"/>
        </w:rPr>
        <w:t>Figure 39 shows a generalized process flow diagram for algal biomass production of advanced biofuels.</w:t>
      </w:r>
    </w:p>
    <w:p w:rsidR="006E1BDE" w:rsidRDefault="00244DD3">
      <w:pPr>
        <w:pStyle w:val="Caption"/>
        <w:rPr>
          <w:szCs w:val="22"/>
        </w:rPr>
      </w:pPr>
      <w:r>
        <w:rPr>
          <w:szCs w:val="22"/>
        </w:rPr>
        <w:t>Figure 39: Generalised flowsheet for algal biomass treatment to advanced biofuel</w:t>
      </w:r>
      <w:r>
        <w:rPr>
          <w:szCs w:val="22"/>
        </w:rPr>
        <w:t>s; the most simplified process is that of biomethane production via anaerobic digestion</w:t>
      </w:r>
    </w:p>
    <w:p w:rsidR="006E1BDE" w:rsidRDefault="00244DD3">
      <w:pPr>
        <w:jc w:val="center"/>
        <w:rPr>
          <w:szCs w:val="22"/>
          <w:lang w:eastAsia="sv-SE"/>
        </w:rPr>
      </w:pPr>
      <w:r>
        <w:rPr>
          <w:noProof/>
          <w:szCs w:val="22"/>
          <w:lang w:eastAsia="en-GB"/>
        </w:rPr>
        <w:drawing>
          <wp:inline distT="0" distB="0" distL="0" distR="0">
            <wp:extent cx="5181600" cy="36385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81600" cy="3638550"/>
                    </a:xfrm>
                    <a:prstGeom prst="rect">
                      <a:avLst/>
                    </a:prstGeom>
                    <a:noFill/>
                    <a:ln>
                      <a:noFill/>
                    </a:ln>
                  </pic:spPr>
                </pic:pic>
              </a:graphicData>
            </a:graphic>
          </wp:inline>
        </w:drawing>
      </w:r>
    </w:p>
    <w:p w:rsidR="006E1BDE" w:rsidRDefault="00244DD3">
      <w:pPr>
        <w:pStyle w:val="Heading3"/>
        <w:rPr>
          <w:szCs w:val="22"/>
        </w:rPr>
      </w:pPr>
      <w:bookmarkStart w:id="82" w:name="_Toc516598399"/>
      <w:r>
        <w:rPr>
          <w:szCs w:val="22"/>
        </w:rPr>
        <w:t>Waste water treatment plants in the EU using algae</w:t>
      </w:r>
      <w:bookmarkEnd w:id="82"/>
    </w:p>
    <w:p w:rsidR="006E1BDE" w:rsidRDefault="00244DD3">
      <w:pPr>
        <w:pStyle w:val="EXNumberedlist"/>
        <w:numPr>
          <w:ilvl w:val="0"/>
          <w:numId w:val="0"/>
        </w:numPr>
        <w:ind w:left="648"/>
        <w:rPr>
          <w:lang w:eastAsia="sv-SE"/>
        </w:rPr>
      </w:pPr>
      <w:r>
        <w:rPr>
          <w:lang w:eastAsia="sv-SE"/>
        </w:rPr>
        <w:t>Recent work on biofuels from algae indicated that at present the cost of such value chains is prohibitive and in th</w:t>
      </w:r>
      <w:r>
        <w:rPr>
          <w:lang w:eastAsia="sv-SE"/>
        </w:rPr>
        <w:t>e EU algae are cultivated for other market segments (food, feed, cosmetics, etc). However, using algae in waste water treatment facilities to purify waste water has been a successful application by AQUALIA of Spain</w:t>
      </w:r>
      <w:r>
        <w:rPr>
          <w:rStyle w:val="FootnoteReference"/>
          <w:lang w:eastAsia="sv-SE"/>
        </w:rPr>
        <w:footnoteReference w:id="191"/>
      </w:r>
      <w:r>
        <w:rPr>
          <w:lang w:eastAsia="sv-SE"/>
        </w:rPr>
        <w:t xml:space="preserve">. </w:t>
      </w:r>
    </w:p>
    <w:p w:rsidR="006E1BDE" w:rsidRDefault="00244DD3">
      <w:pPr>
        <w:rPr>
          <w:szCs w:val="22"/>
          <w:lang w:eastAsia="sv-SE"/>
        </w:rPr>
      </w:pPr>
      <w:r>
        <w:rPr>
          <w:szCs w:val="22"/>
          <w:lang w:eastAsia="sv-SE"/>
        </w:rPr>
        <w:t>There are numerous contracts supported</w:t>
      </w:r>
      <w:r>
        <w:rPr>
          <w:szCs w:val="22"/>
          <w:lang w:eastAsia="sv-SE"/>
        </w:rPr>
        <w:t xml:space="preserve"> under FP7 and Horizon 2020 in the EU, however, only one of them, the ALL GAS</w:t>
      </w:r>
      <w:r>
        <w:rPr>
          <w:rStyle w:val="FootnoteReference"/>
          <w:szCs w:val="22"/>
          <w:lang w:eastAsia="sv-SE"/>
        </w:rPr>
        <w:footnoteReference w:id="192"/>
      </w:r>
      <w:r>
        <w:rPr>
          <w:szCs w:val="22"/>
          <w:lang w:eastAsia="sv-SE"/>
        </w:rPr>
        <w:t xml:space="preserve"> project is particularly looking into advanced biofuels and has reached the TRL 8-9.</w:t>
      </w:r>
    </w:p>
    <w:p w:rsidR="006E1BDE" w:rsidRDefault="00244DD3">
      <w:pPr>
        <w:pStyle w:val="Caption"/>
        <w:rPr>
          <w:szCs w:val="22"/>
        </w:rPr>
      </w:pPr>
      <w:r>
        <w:rPr>
          <w:szCs w:val="22"/>
        </w:rPr>
        <w:t>Table 16: EU projects on algae for biofuels</w:t>
      </w:r>
    </w:p>
    <w:tbl>
      <w:tblPr>
        <w:tblStyle w:val="GridTable5Dark-Accent11"/>
        <w:tblW w:w="0" w:type="auto"/>
        <w:tblLook w:val="04A0" w:firstRow="1" w:lastRow="0" w:firstColumn="1" w:lastColumn="0" w:noHBand="0" w:noVBand="1"/>
      </w:tblPr>
      <w:tblGrid>
        <w:gridCol w:w="424"/>
        <w:gridCol w:w="1947"/>
        <w:gridCol w:w="1971"/>
        <w:gridCol w:w="1780"/>
        <w:gridCol w:w="1606"/>
        <w:gridCol w:w="569"/>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rPr>
                <w:b w:val="0"/>
              </w:rP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Technology Developer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Production</w:t>
            </w:r>
            <w:r>
              <w:rPr>
                <w:b w:val="0"/>
              </w:rPr>
              <w:t xml:space="preserve"> Capacity</w:t>
            </w:r>
          </w:p>
          <w:p w:rsidR="006E1BDE" w:rsidRDefault="006E1BDE">
            <w:pPr>
              <w:jc w:val="center"/>
              <w:cnfStyle w:val="100000000000" w:firstRow="1" w:lastRow="0" w:firstColumn="0" w:lastColumn="0" w:oddVBand="0" w:evenVBand="0" w:oddHBand="0" w:evenHBand="0" w:firstRowFirstColumn="0" w:firstRowLastColumn="0" w:lastRowFirstColumn="0" w:lastRowLastColumn="0"/>
              <w:rPr>
                <w:b w:val="0"/>
              </w:rPr>
            </w:pP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Aqualia/ALL GAS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Chiclana, Cadiz, Spain</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150 kg/d (as CH4)</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2017</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8</w:t>
            </w:r>
          </w:p>
        </w:tc>
      </w:tr>
    </w:tbl>
    <w:p w:rsidR="006E1BDE" w:rsidRDefault="006E1BDE">
      <w:pPr>
        <w:rPr>
          <w:szCs w:val="22"/>
          <w:lang w:eastAsia="sv-SE"/>
        </w:rPr>
      </w:pPr>
    </w:p>
    <w:p w:rsidR="006E1BDE" w:rsidRDefault="00244DD3">
      <w:pPr>
        <w:rPr>
          <w:szCs w:val="22"/>
          <w:lang w:eastAsia="sv-SE"/>
        </w:rPr>
      </w:pPr>
      <w:r>
        <w:rPr>
          <w:b/>
          <w:szCs w:val="22"/>
          <w:lang w:eastAsia="sv-SE"/>
        </w:rPr>
        <w:t>The ALL GAS project</w:t>
      </w:r>
      <w:r>
        <w:rPr>
          <w:szCs w:val="22"/>
          <w:lang w:eastAsia="sv-SE"/>
        </w:rPr>
        <w:t xml:space="preserve"> aims to build an algae plant over 4 ha based on open ponds. The algae are co-digested together with about 5000 m3/d of wastewater, as well as other extraction by-products, to produce biogas (CH4 and CO2). The biogas is upgraded to biomethane which is used</w:t>
      </w:r>
      <w:r>
        <w:rPr>
          <w:szCs w:val="22"/>
          <w:lang w:eastAsia="sv-SE"/>
        </w:rPr>
        <w:t xml:space="preserve"> as vehicle fuel to power up to 200 cars. An external biomass combustion (sludge from a wastewater treatment plant located in the area), together with internal biomass combustion (digestate from residual algae and wastewater solids), are used to supply the</w:t>
      </w:r>
      <w:r>
        <w:rPr>
          <w:szCs w:val="22"/>
          <w:lang w:eastAsia="sv-SE"/>
        </w:rPr>
        <w:t xml:space="preserve"> necessary CO2 to the algae farm aiming to enhance the algal yield.</w:t>
      </w:r>
    </w:p>
    <w:p w:rsidR="006E1BDE" w:rsidRDefault="00244DD3">
      <w:pPr>
        <w:pStyle w:val="Caption"/>
        <w:rPr>
          <w:szCs w:val="22"/>
        </w:rPr>
      </w:pPr>
      <w:r>
        <w:rPr>
          <w:szCs w:val="22"/>
        </w:rPr>
        <w:t xml:space="preserve">Figure 40: The ALL GAS project in Chiclana, Cadiz, Spain </w:t>
      </w:r>
    </w:p>
    <w:p w:rsidR="006E1BDE" w:rsidRDefault="00244DD3">
      <w:pPr>
        <w:jc w:val="center"/>
        <w:rPr>
          <w:szCs w:val="22"/>
          <w:lang w:eastAsia="sv-SE"/>
        </w:rPr>
      </w:pPr>
      <w:r>
        <w:rPr>
          <w:noProof/>
          <w:szCs w:val="22"/>
          <w:lang w:eastAsia="en-GB"/>
        </w:rPr>
        <w:drawing>
          <wp:inline distT="0" distB="0" distL="0" distR="0">
            <wp:extent cx="2978150" cy="1656517"/>
            <wp:effectExtent l="0" t="0" r="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erial view of the demonstrations scale plant (Chiclana, Cádiz, SPAI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19312" cy="1679412"/>
                    </a:xfrm>
                    <a:prstGeom prst="rect">
                      <a:avLst/>
                    </a:prstGeom>
                    <a:noFill/>
                    <a:ln>
                      <a:noFill/>
                    </a:ln>
                  </pic:spPr>
                </pic:pic>
              </a:graphicData>
            </a:graphic>
          </wp:inline>
        </w:drawing>
      </w:r>
      <w:r>
        <w:rPr>
          <w:noProof/>
          <w:szCs w:val="22"/>
          <w:lang w:eastAsia="en-GB"/>
        </w:rPr>
        <w:drawing>
          <wp:inline distT="0" distB="0" distL="0" distR="0">
            <wp:extent cx="2993390" cy="1422767"/>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ltivation area composed by 4 raceways ponds of 1000 m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08706" cy="1430047"/>
                    </a:xfrm>
                    <a:prstGeom prst="rect">
                      <a:avLst/>
                    </a:prstGeom>
                    <a:noFill/>
                    <a:ln>
                      <a:noFill/>
                    </a:ln>
                  </pic:spPr>
                </pic:pic>
              </a:graphicData>
            </a:graphic>
          </wp:inline>
        </w:drawing>
      </w:r>
    </w:p>
    <w:p w:rsidR="006E1BDE" w:rsidRDefault="00244DD3">
      <w:pPr>
        <w:pStyle w:val="Heading3"/>
        <w:rPr>
          <w:szCs w:val="22"/>
        </w:rPr>
      </w:pPr>
      <w:bookmarkStart w:id="83" w:name="_Toc516598400"/>
      <w:r>
        <w:rPr>
          <w:szCs w:val="22"/>
        </w:rPr>
        <w:t>Waste water treatment plants in India using algae</w:t>
      </w:r>
      <w:bookmarkEnd w:id="83"/>
    </w:p>
    <w:p w:rsidR="006E1BDE" w:rsidRDefault="00244DD3">
      <w:pPr>
        <w:rPr>
          <w:szCs w:val="22"/>
          <w:lang w:eastAsia="sv-SE"/>
        </w:rPr>
      </w:pPr>
      <w:r>
        <w:rPr>
          <w:b/>
          <w:szCs w:val="22"/>
          <w:lang w:eastAsia="sv-SE"/>
        </w:rPr>
        <w:t>Phycolinc Technologies PVT LTD</w:t>
      </w:r>
      <w:r>
        <w:rPr>
          <w:szCs w:val="22"/>
          <w:lang w:eastAsia="sv-SE"/>
        </w:rPr>
        <w:t xml:space="preserve"> located in Ahmedabad is engaged in implementing Phycospectrum Environmental Research Centre’s (PERC), algae remediation technology in industries in India. The algal biomass /sludge has high nutrient value and may be suitable as a feed for aquaculture as w</w:t>
      </w:r>
      <w:r>
        <w:rPr>
          <w:szCs w:val="22"/>
          <w:lang w:eastAsia="sv-SE"/>
        </w:rPr>
        <w:t>ell as a bio-fertilizer/manure. The company uses phycoremediation for the removal or biotransformation of pollutants from wastewater</w:t>
      </w:r>
      <w:r>
        <w:rPr>
          <w:rStyle w:val="FootnoteReference"/>
          <w:szCs w:val="22"/>
          <w:lang w:eastAsia="sv-SE"/>
        </w:rPr>
        <w:footnoteReference w:id="193"/>
      </w:r>
      <w:r>
        <w:rPr>
          <w:szCs w:val="22"/>
          <w:lang w:eastAsia="sv-SE"/>
        </w:rPr>
        <w:t>. Microalgae are used during the tertiary treatment of wastewater in maturation ponds. Algae are known to remove or bio-con</w:t>
      </w:r>
      <w:r>
        <w:rPr>
          <w:szCs w:val="22"/>
          <w:lang w:eastAsia="sv-SE"/>
        </w:rPr>
        <w:t xml:space="preserve">vert nitrogen compounds and other contaminants including heavy metals. </w:t>
      </w:r>
    </w:p>
    <w:p w:rsidR="006E1BDE" w:rsidRDefault="00244DD3">
      <w:pPr>
        <w:pStyle w:val="Caption"/>
        <w:rPr>
          <w:szCs w:val="22"/>
        </w:rPr>
      </w:pPr>
      <w:r>
        <w:rPr>
          <w:szCs w:val="22"/>
        </w:rPr>
        <w:t>Table 17: Indian projects on algae for biofuels</w:t>
      </w:r>
    </w:p>
    <w:tbl>
      <w:tblPr>
        <w:tblStyle w:val="GridTable5Dark-Accent11"/>
        <w:tblW w:w="0" w:type="auto"/>
        <w:tblLook w:val="04A0" w:firstRow="1" w:lastRow="0" w:firstColumn="1" w:lastColumn="0" w:noHBand="0" w:noVBand="1"/>
      </w:tblPr>
      <w:tblGrid>
        <w:gridCol w:w="424"/>
        <w:gridCol w:w="2036"/>
        <w:gridCol w:w="1891"/>
        <w:gridCol w:w="1775"/>
        <w:gridCol w:w="1602"/>
        <w:gridCol w:w="569"/>
      </w:tblGrid>
      <w:tr w:rsidR="006E1BDE" w:rsidTr="006E1B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rPr>
                <w:b w:val="0"/>
              </w:rPr>
            </w:pPr>
            <w:r>
              <w:rPr>
                <w:b w:val="0"/>
              </w:rPr>
              <w:t>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Technology Developer</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Plant/Location</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Production Capacity</w:t>
            </w:r>
          </w:p>
          <w:p w:rsidR="006E1BDE" w:rsidRDefault="006E1BDE">
            <w:pPr>
              <w:jc w:val="center"/>
              <w:cnfStyle w:val="100000000000" w:firstRow="1" w:lastRow="0" w:firstColumn="0" w:lastColumn="0" w:oddVBand="0" w:evenVBand="0" w:oddHBand="0" w:evenHBand="0" w:firstRowFirstColumn="0" w:firstRowLastColumn="0" w:lastRowFirstColumn="0" w:lastRowLastColumn="0"/>
              <w:rPr>
                <w:b w:val="0"/>
              </w:rPr>
            </w:pP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In operation since</w:t>
            </w:r>
          </w:p>
        </w:tc>
        <w:tc>
          <w:tcPr>
            <w:tcW w:w="0" w:type="auto"/>
            <w:vAlign w:val="center"/>
          </w:tcPr>
          <w:p w:rsidR="006E1BDE" w:rsidRDefault="00244DD3">
            <w:pPr>
              <w:jc w:val="center"/>
              <w:cnfStyle w:val="100000000000" w:firstRow="1" w:lastRow="0" w:firstColumn="0" w:lastColumn="0" w:oddVBand="0" w:evenVBand="0" w:oddHBand="0" w:evenHBand="0" w:firstRowFirstColumn="0" w:firstRowLastColumn="0" w:lastRowFirstColumn="0" w:lastRowLastColumn="0"/>
              <w:rPr>
                <w:b w:val="0"/>
              </w:rPr>
            </w:pPr>
            <w:r>
              <w:rPr>
                <w:b w:val="0"/>
              </w:rPr>
              <w:t>TRL</w:t>
            </w:r>
          </w:p>
        </w:tc>
      </w:tr>
      <w:tr w:rsidR="006E1BDE" w:rsidTr="006E1B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vAlign w:val="center"/>
          </w:tcPr>
          <w:p w:rsidR="006E1BDE" w:rsidRDefault="00244DD3">
            <w:pPr>
              <w:jc w:val="center"/>
            </w:pPr>
            <w:r>
              <w:t>1</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Phycolinc Technologies</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Ranipet, Tamil Nadu</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2006</w:t>
            </w:r>
          </w:p>
        </w:tc>
        <w:tc>
          <w:tcPr>
            <w:tcW w:w="0" w:type="auto"/>
            <w:vAlign w:val="center"/>
          </w:tcPr>
          <w:p w:rsidR="006E1BDE" w:rsidRDefault="00244DD3">
            <w:pPr>
              <w:jc w:val="center"/>
              <w:cnfStyle w:val="000000100000" w:firstRow="0" w:lastRow="0" w:firstColumn="0" w:lastColumn="0" w:oddVBand="0" w:evenVBand="0" w:oddHBand="1" w:evenHBand="0" w:firstRowFirstColumn="0" w:firstRowLastColumn="0" w:lastRowFirstColumn="0" w:lastRowLastColumn="0"/>
            </w:pPr>
            <w:r>
              <w:t>9</w:t>
            </w:r>
          </w:p>
        </w:tc>
      </w:tr>
    </w:tbl>
    <w:p w:rsidR="006E1BDE" w:rsidRDefault="006E1BDE">
      <w:pPr>
        <w:rPr>
          <w:szCs w:val="22"/>
          <w:lang w:eastAsia="sv-SE"/>
        </w:rPr>
      </w:pPr>
    </w:p>
    <w:p w:rsidR="006E1BDE" w:rsidRDefault="00244DD3">
      <w:pPr>
        <w:rPr>
          <w:szCs w:val="22"/>
          <w:lang w:eastAsia="sv-SE"/>
        </w:rPr>
      </w:pPr>
      <w:r>
        <w:rPr>
          <w:szCs w:val="22"/>
          <w:lang w:eastAsia="sv-SE"/>
        </w:rPr>
        <w:t xml:space="preserve">Several commercial ETPs based on phycoremediation have been set up including that of </w:t>
      </w:r>
      <w:r>
        <w:rPr>
          <w:b/>
          <w:szCs w:val="22"/>
          <w:lang w:eastAsia="sv-SE"/>
        </w:rPr>
        <w:t>Snap Natural &amp; Alginate Products Pvt. Ltd</w:t>
      </w:r>
      <w:r>
        <w:rPr>
          <w:szCs w:val="22"/>
          <w:lang w:eastAsia="sv-SE"/>
        </w:rPr>
        <w:t>., Ranipet, Tamil Nadu, which reduces the high total dry solids and highly acidic to normal pH. The plant has been in operatio</w:t>
      </w:r>
      <w:r>
        <w:rPr>
          <w:szCs w:val="22"/>
          <w:lang w:eastAsia="sv-SE"/>
        </w:rPr>
        <w:t>n since 2006. The company has manufacturing activity spread over 12.00 acres site.    It manufactures salts of Alginic Acid, Carrageenan and Seaweed extract as an Organic Agricultural Input.</w:t>
      </w:r>
    </w:p>
    <w:p w:rsidR="006E1BDE" w:rsidRDefault="00244DD3">
      <w:pPr>
        <w:pStyle w:val="Caption"/>
        <w:rPr>
          <w:szCs w:val="22"/>
        </w:rPr>
      </w:pPr>
      <w:r>
        <w:rPr>
          <w:szCs w:val="22"/>
        </w:rPr>
        <w:t>Figure 41: The phycoremediation plant at Ranipet, Tamil Nadu Indi</w:t>
      </w:r>
      <w:r>
        <w:rPr>
          <w:szCs w:val="22"/>
        </w:rPr>
        <w:t>a</w:t>
      </w:r>
    </w:p>
    <w:p w:rsidR="006E1BDE" w:rsidRDefault="00244DD3">
      <w:pPr>
        <w:jc w:val="center"/>
        <w:rPr>
          <w:szCs w:val="22"/>
          <w:lang w:eastAsia="sv-SE"/>
        </w:rPr>
      </w:pPr>
      <w:r>
        <w:rPr>
          <w:noProof/>
          <w:szCs w:val="22"/>
          <w:lang w:eastAsia="en-GB"/>
        </w:rPr>
        <w:drawing>
          <wp:inline distT="0" distB="0" distL="0" distR="0">
            <wp:extent cx="2857500" cy="1905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snapalginate.com/images/ps2.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r>
        <w:rPr>
          <w:szCs w:val="22"/>
          <w:lang w:eastAsia="sv-SE"/>
        </w:rPr>
        <w:t xml:space="preserve"> </w:t>
      </w:r>
      <w:r>
        <w:rPr>
          <w:noProof/>
          <w:szCs w:val="22"/>
          <w:lang w:eastAsia="en-GB"/>
        </w:rPr>
        <w:drawing>
          <wp:inline distT="0" distB="0" distL="0" distR="0">
            <wp:extent cx="2857500" cy="1905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snapalginate.com/images/ps1.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857500" cy="1905000"/>
                    </a:xfrm>
                    <a:prstGeom prst="rect">
                      <a:avLst/>
                    </a:prstGeom>
                    <a:noFill/>
                    <a:ln>
                      <a:noFill/>
                    </a:ln>
                  </pic:spPr>
                </pic:pic>
              </a:graphicData>
            </a:graphic>
          </wp:inline>
        </w:drawing>
      </w:r>
    </w:p>
    <w:p w:rsidR="006E1BDE" w:rsidRDefault="00244DD3">
      <w:pPr>
        <w:pStyle w:val="Heading2"/>
      </w:pPr>
      <w:bookmarkStart w:id="84" w:name="_Toc516598401"/>
      <w:r>
        <w:t>Power to X</w:t>
      </w:r>
      <w:bookmarkEnd w:id="84"/>
    </w:p>
    <w:p w:rsidR="006E1BDE" w:rsidRDefault="00244DD3">
      <w:pPr>
        <w:pStyle w:val="Heading3"/>
        <w:rPr>
          <w:szCs w:val="22"/>
        </w:rPr>
      </w:pPr>
      <w:bookmarkStart w:id="85" w:name="_Toc516598402"/>
      <w:r>
        <w:rPr>
          <w:szCs w:val="22"/>
        </w:rPr>
        <w:t>Introduction</w:t>
      </w:r>
      <w:bookmarkEnd w:id="85"/>
    </w:p>
    <w:p w:rsidR="006E1BDE" w:rsidRDefault="00244DD3">
      <w:pPr>
        <w:rPr>
          <w:szCs w:val="22"/>
          <w:lang w:eastAsia="sv-SE"/>
        </w:rPr>
      </w:pPr>
      <w:r>
        <w:rPr>
          <w:szCs w:val="22"/>
          <w:lang w:eastAsia="sv-SE"/>
        </w:rPr>
        <w:t xml:space="preserve">In general </w:t>
      </w:r>
      <w:r>
        <w:rPr>
          <w:i/>
          <w:szCs w:val="22"/>
          <w:lang w:eastAsia="sv-SE"/>
        </w:rPr>
        <w:t>Power to X</w:t>
      </w:r>
      <w:r>
        <w:rPr>
          <w:szCs w:val="22"/>
          <w:lang w:eastAsia="sv-SE"/>
        </w:rPr>
        <w:t xml:space="preserve"> refers to technologies that convert power to liquid or gaseous fuels. Producing gaseous and liquid fuels from excess renewable electricity via electrolysis followed by the synthesis of the resulting hydro</w:t>
      </w:r>
      <w:r>
        <w:rPr>
          <w:szCs w:val="22"/>
          <w:lang w:eastAsia="sv-SE"/>
        </w:rPr>
        <w:t>gen with carbon dioxide over catalysts is an attractive storage technology; however several issues need to be still resolved before such processes can be considered ready for market deployment. Some of these issues relate to the intermittent character of w</w:t>
      </w:r>
      <w:r>
        <w:rPr>
          <w:szCs w:val="22"/>
          <w:lang w:eastAsia="sv-SE"/>
        </w:rPr>
        <w:t xml:space="preserve">ind and PV electricity while the chemical conversion plant has to operate on continuous basis to provide economic viability. Using power from the grid is questionable at least from the point of view of fighting climate change since in Europe a significant </w:t>
      </w:r>
      <w:r>
        <w:rPr>
          <w:szCs w:val="22"/>
          <w:lang w:eastAsia="sv-SE"/>
        </w:rPr>
        <w:t xml:space="preserve">part of it is coal based. </w:t>
      </w:r>
    </w:p>
    <w:p w:rsidR="006E1BDE" w:rsidRDefault="00244DD3">
      <w:pPr>
        <w:rPr>
          <w:szCs w:val="22"/>
          <w:lang w:eastAsia="sv-SE"/>
        </w:rPr>
      </w:pPr>
      <w:r>
        <w:rPr>
          <w:szCs w:val="22"/>
        </w:rPr>
        <w:t>Although no detailed description will be given for Power to X plants in the EU, Figure 42 shows a generalized process flow diagram for producing renewable fuels via electrolysis.</w:t>
      </w:r>
    </w:p>
    <w:p w:rsidR="006E1BDE" w:rsidRDefault="00244DD3">
      <w:pPr>
        <w:pStyle w:val="Caption"/>
        <w:rPr>
          <w:szCs w:val="22"/>
        </w:rPr>
      </w:pPr>
      <w:r>
        <w:rPr>
          <w:szCs w:val="22"/>
        </w:rPr>
        <w:t>Figure 42: Generalised process flow diagram for Po</w:t>
      </w:r>
      <w:r>
        <w:rPr>
          <w:szCs w:val="22"/>
        </w:rPr>
        <w:t>wer to X renewable fuels</w:t>
      </w:r>
    </w:p>
    <w:p w:rsidR="006E1BDE" w:rsidRDefault="00244DD3">
      <w:pPr>
        <w:jc w:val="center"/>
        <w:rPr>
          <w:szCs w:val="22"/>
        </w:rPr>
      </w:pPr>
      <w:r>
        <w:rPr>
          <w:noProof/>
          <w:szCs w:val="22"/>
          <w:lang w:eastAsia="en-GB"/>
        </w:rPr>
        <w:drawing>
          <wp:inline distT="0" distB="0" distL="0" distR="0">
            <wp:extent cx="5180400" cy="3600000"/>
            <wp:effectExtent l="152400" t="171450" r="153670" b="1530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tG.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180400" cy="36000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1BDE" w:rsidRDefault="00244DD3">
      <w:pPr>
        <w:pStyle w:val="Heading3"/>
        <w:rPr>
          <w:szCs w:val="22"/>
          <w:lang w:eastAsia="sv-SE"/>
        </w:rPr>
      </w:pPr>
      <w:bookmarkStart w:id="86" w:name="_Toc516598403"/>
      <w:r>
        <w:rPr>
          <w:szCs w:val="22"/>
          <w:lang w:eastAsia="sv-SE"/>
        </w:rPr>
        <w:t>Power to X in the EU</w:t>
      </w:r>
      <w:bookmarkEnd w:id="86"/>
    </w:p>
    <w:p w:rsidR="006E1BDE" w:rsidRDefault="00244DD3">
      <w:pPr>
        <w:rPr>
          <w:szCs w:val="22"/>
          <w:lang w:eastAsia="sv-SE"/>
        </w:rPr>
      </w:pPr>
      <w:r>
        <w:rPr>
          <w:szCs w:val="22"/>
          <w:lang w:eastAsia="sv-SE"/>
        </w:rPr>
        <w:t>Under EU legislation if the renewable power originates from biomass (biomass combustion or combustions of bio-liquids</w:t>
      </w:r>
      <w:r>
        <w:rPr>
          <w:rStyle w:val="FootnoteReference"/>
          <w:szCs w:val="22"/>
          <w:lang w:eastAsia="sv-SE"/>
        </w:rPr>
        <w:footnoteReference w:id="194"/>
      </w:r>
      <w:r>
        <w:rPr>
          <w:szCs w:val="22"/>
          <w:lang w:eastAsia="sv-SE"/>
        </w:rPr>
        <w:t xml:space="preserve"> in gas turbines) then the resulting fuel is a biofuel while if the renewable power originates from wind or photovoltaics then the resulting fuel is called </w:t>
      </w:r>
      <w:r>
        <w:rPr>
          <w:i/>
          <w:szCs w:val="22"/>
          <w:lang w:eastAsia="sv-SE"/>
        </w:rPr>
        <w:t>renewable fuel of non-biological origin</w:t>
      </w:r>
      <w:r>
        <w:rPr>
          <w:szCs w:val="22"/>
          <w:lang w:eastAsia="sv-SE"/>
        </w:rPr>
        <w:t>.</w:t>
      </w:r>
    </w:p>
    <w:p w:rsidR="006E1BDE" w:rsidRDefault="00244DD3">
      <w:pPr>
        <w:rPr>
          <w:szCs w:val="22"/>
          <w:lang w:eastAsia="sv-SE"/>
        </w:rPr>
      </w:pPr>
      <w:r>
        <w:rPr>
          <w:szCs w:val="22"/>
          <w:lang w:eastAsia="sv-SE"/>
        </w:rPr>
        <w:t>There are several pilots and demonstration plants in the EU</w:t>
      </w:r>
      <w:r>
        <w:rPr>
          <w:szCs w:val="22"/>
          <w:lang w:eastAsia="sv-SE"/>
        </w:rPr>
        <w:t xml:space="preserve"> however all of these are considered to be far from commercialization. </w:t>
      </w:r>
    </w:p>
    <w:p w:rsidR="006E1BDE" w:rsidRDefault="00244DD3">
      <w:pPr>
        <w:pStyle w:val="Heading3"/>
        <w:rPr>
          <w:szCs w:val="22"/>
          <w:lang w:eastAsia="sv-SE"/>
        </w:rPr>
      </w:pPr>
      <w:bookmarkStart w:id="87" w:name="_Toc516598404"/>
      <w:r>
        <w:rPr>
          <w:szCs w:val="22"/>
          <w:lang w:eastAsia="sv-SE"/>
        </w:rPr>
        <w:t>Power to X in India</w:t>
      </w:r>
      <w:bookmarkEnd w:id="87"/>
    </w:p>
    <w:p w:rsidR="006E1BDE" w:rsidRDefault="00244DD3">
      <w:pPr>
        <w:rPr>
          <w:szCs w:val="22"/>
          <w:lang w:eastAsia="sv-SE"/>
        </w:rPr>
      </w:pPr>
      <w:r>
        <w:rPr>
          <w:szCs w:val="22"/>
          <w:lang w:eastAsia="sv-SE"/>
        </w:rPr>
        <w:t>As on December 31, 2017 the large total installed electricity generation capacity of India was 330.9 GW out of which 60.2 GW was from renewable power</w:t>
      </w:r>
      <w:r>
        <w:rPr>
          <w:rStyle w:val="FootnoteReference"/>
          <w:szCs w:val="22"/>
          <w:lang w:eastAsia="sv-SE"/>
        </w:rPr>
        <w:footnoteReference w:id="195"/>
      </w:r>
      <w:r>
        <w:rPr>
          <w:szCs w:val="22"/>
          <w:lang w:eastAsia="sv-SE"/>
        </w:rPr>
        <w:t>.  However, In</w:t>
      </w:r>
      <w:r>
        <w:rPr>
          <w:szCs w:val="22"/>
          <w:lang w:eastAsia="sv-SE"/>
        </w:rPr>
        <w:t>dia is an energy deficit country. With about 18% of the world’s population India consumes only 6% of the world’s primary energy</w:t>
      </w:r>
      <w:r>
        <w:rPr>
          <w:rStyle w:val="FootnoteReference"/>
          <w:szCs w:val="22"/>
          <w:lang w:eastAsia="sv-SE"/>
        </w:rPr>
        <w:footnoteReference w:id="196"/>
      </w:r>
      <w:r>
        <w:rPr>
          <w:szCs w:val="22"/>
          <w:lang w:eastAsia="sv-SE"/>
        </w:rPr>
        <w:t>. Both in terms of prime energy and electricity India has one of the lowest per capita consumption. The per capita energy and el</w:t>
      </w:r>
      <w:r>
        <w:rPr>
          <w:szCs w:val="22"/>
          <w:lang w:eastAsia="sv-SE"/>
        </w:rPr>
        <w:t>ectricity consumption of India in financial year 2015-16 was 670 kgoe and at 1075 KWh/year respectively which was one-third of the world average</w:t>
      </w:r>
      <w:r>
        <w:rPr>
          <w:rStyle w:val="FootnoteReference"/>
          <w:szCs w:val="22"/>
          <w:lang w:eastAsia="sv-SE"/>
        </w:rPr>
        <w:footnoteReference w:id="197"/>
      </w:r>
      <w:r>
        <w:rPr>
          <w:szCs w:val="22"/>
          <w:lang w:eastAsia="sv-SE"/>
        </w:rPr>
        <w:t>.  Nearly 25% of Indian population today is without access to electricity. There has been a chronic shortage of</w:t>
      </w:r>
      <w:r>
        <w:rPr>
          <w:szCs w:val="22"/>
          <w:lang w:eastAsia="sv-SE"/>
        </w:rPr>
        <w:t xml:space="preserve"> electricity in India for decades although it has eased in the last few years.  The average deficit and peak deficit of 10.1% and 12.7% respectively in 2009-10 while in 2016-17 the shortage has reduced to 0.6% and 1.7%. The demand is likely to grow at a ra</w:t>
      </w:r>
      <w:r>
        <w:rPr>
          <w:szCs w:val="22"/>
          <w:lang w:eastAsia="sv-SE"/>
        </w:rPr>
        <w:t>pid pace.</w:t>
      </w:r>
    </w:p>
    <w:p w:rsidR="006E1BDE" w:rsidRDefault="00244DD3">
      <w:pPr>
        <w:rPr>
          <w:szCs w:val="22"/>
          <w:lang w:eastAsia="sv-SE"/>
        </w:rPr>
      </w:pPr>
      <w:r>
        <w:rPr>
          <w:szCs w:val="22"/>
          <w:lang w:eastAsia="sv-SE"/>
        </w:rPr>
        <w:t>In conclusion Power to X doesn’t have any prospects in India in the short to medium term future and therefore describing such EU technologies and projects are of little value to this report.</w:t>
      </w:r>
    </w:p>
    <w:p w:rsidR="006E1BDE" w:rsidRDefault="00244DD3">
      <w:pPr>
        <w:pStyle w:val="Heading2"/>
        <w:rPr>
          <w:lang w:val="fr-BE"/>
        </w:rPr>
      </w:pPr>
      <w:bookmarkStart w:id="88" w:name="_Toc516598405"/>
      <w:r>
        <w:rPr>
          <w:lang w:val="fr-BE"/>
        </w:rPr>
        <w:t>Carbon Capture and Utilisation (CCU)</w:t>
      </w:r>
      <w:bookmarkEnd w:id="88"/>
    </w:p>
    <w:p w:rsidR="006E1BDE" w:rsidRDefault="00244DD3">
      <w:pPr>
        <w:pStyle w:val="Heading3"/>
        <w:rPr>
          <w:szCs w:val="22"/>
        </w:rPr>
      </w:pPr>
      <w:bookmarkStart w:id="89" w:name="_Toc516598406"/>
      <w:r>
        <w:rPr>
          <w:szCs w:val="22"/>
        </w:rPr>
        <w:t>Introduction</w:t>
      </w:r>
      <w:bookmarkEnd w:id="89"/>
    </w:p>
    <w:p w:rsidR="006E1BDE" w:rsidRDefault="00244DD3">
      <w:pPr>
        <w:rPr>
          <w:szCs w:val="22"/>
          <w:lang w:eastAsia="sv-SE"/>
        </w:rPr>
      </w:pPr>
      <w:r>
        <w:rPr>
          <w:szCs w:val="22"/>
          <w:lang w:eastAsia="sv-SE"/>
        </w:rPr>
        <w:t>Various industries such as steel produce process gas streams that contain relative high concentrations of carbon monoxide and hydrogen. However the relative ratios of H2/Co are not adequate to use synthesis over catalysts unless additional hydrogen would b</w:t>
      </w:r>
      <w:r>
        <w:rPr>
          <w:szCs w:val="22"/>
          <w:lang w:eastAsia="sv-SE"/>
        </w:rPr>
        <w:t>e added to the process which can be very expensive. Gas fermentation uses bacteria to convert such gases to various chemicals such as ethanol. Furthermore the gas fermenting bacteria are claimed to be more tolerant to high levels of toxicity than synthesis</w:t>
      </w:r>
      <w:r>
        <w:rPr>
          <w:szCs w:val="22"/>
          <w:lang w:eastAsia="sv-SE"/>
        </w:rPr>
        <w:t xml:space="preserve"> catalyst, thereby avoiding expensive conditioning resulting in relative high yields. </w:t>
      </w:r>
    </w:p>
    <w:p w:rsidR="006E1BDE" w:rsidRDefault="00244DD3">
      <w:pPr>
        <w:pStyle w:val="Heading3"/>
        <w:rPr>
          <w:szCs w:val="22"/>
        </w:rPr>
      </w:pPr>
      <w:bookmarkStart w:id="90" w:name="_Toc516598407"/>
      <w:r>
        <w:rPr>
          <w:szCs w:val="22"/>
        </w:rPr>
        <w:t>Carbon Capture and Utilisation (CCU) in the EU and India</w:t>
      </w:r>
      <w:bookmarkEnd w:id="90"/>
    </w:p>
    <w:p w:rsidR="006E1BDE" w:rsidRDefault="00244DD3">
      <w:pPr>
        <w:numPr>
          <w:ilvl w:val="0"/>
          <w:numId w:val="0"/>
        </w:numPr>
        <w:rPr>
          <w:szCs w:val="22"/>
          <w:lang w:eastAsia="sv-SE"/>
        </w:rPr>
      </w:pPr>
      <w:r>
        <w:rPr>
          <w:szCs w:val="22"/>
          <w:lang w:eastAsia="sv-SE"/>
        </w:rPr>
        <w:t>Lanzatech</w:t>
      </w:r>
      <w:r>
        <w:rPr>
          <w:rStyle w:val="FootnoteReference"/>
          <w:szCs w:val="22"/>
          <w:lang w:eastAsia="sv-SE"/>
        </w:rPr>
        <w:footnoteReference w:id="198"/>
      </w:r>
      <w:r>
        <w:rPr>
          <w:szCs w:val="22"/>
          <w:lang w:eastAsia="sv-SE"/>
        </w:rPr>
        <w:t xml:space="preserve"> has been successful in developing its technology and has achieved long term operation in pilot and de</w:t>
      </w:r>
      <w:r>
        <w:rPr>
          <w:szCs w:val="22"/>
          <w:lang w:eastAsia="sv-SE"/>
        </w:rPr>
        <w:t>monstration plants. In 2018 Lanzatech commissioned a commercial plant in Shougang China. Lanzatech plans to commission two other plants in 2019; at the facilities of the steel mill of ArcelorMittal</w:t>
      </w:r>
      <w:r>
        <w:rPr>
          <w:rStyle w:val="FootnoteReference"/>
          <w:szCs w:val="22"/>
          <w:lang w:eastAsia="sv-SE"/>
        </w:rPr>
        <w:footnoteReference w:id="199"/>
      </w:r>
      <w:r>
        <w:rPr>
          <w:szCs w:val="22"/>
          <w:lang w:eastAsia="sv-SE"/>
        </w:rPr>
        <w:t>, Belgium and the other at the facilities of Indian Oil Co</w:t>
      </w:r>
      <w:r>
        <w:rPr>
          <w:szCs w:val="22"/>
          <w:lang w:eastAsia="sv-SE"/>
        </w:rPr>
        <w:t>., India. Further expansion is foreseen in the USA and South Africa in 2020.</w:t>
      </w:r>
    </w:p>
    <w:p w:rsidR="006E1BDE" w:rsidRDefault="00244DD3">
      <w:pPr>
        <w:numPr>
          <w:ilvl w:val="0"/>
          <w:numId w:val="0"/>
        </w:numPr>
        <w:rPr>
          <w:lang w:eastAsia="sv-SE"/>
        </w:rPr>
      </w:pPr>
      <w:r>
        <w:rPr>
          <w:szCs w:val="22"/>
          <w:lang w:eastAsia="sv-SE"/>
        </w:rPr>
        <w:t>However since Lanzatech is neither a European or Indian company and it is active and well known in both the EU and India any further description is considered unnecessary.</w:t>
      </w:r>
    </w:p>
    <w:sectPr w:rsidR="006E1BDE">
      <w:headerReference w:type="default" r:id="rId64"/>
      <w:footerReference w:type="default" r:id="rId65"/>
      <w:footerReference w:type="first" r:id="rId66"/>
      <w:type w:val="continuous"/>
      <w:pgSz w:w="11907" w:h="16839" w:code="9"/>
      <w:pgMar w:top="1440" w:right="1800" w:bottom="1440" w:left="180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E1BDE" w:rsidRDefault="00244DD3">
      <w:pPr>
        <w:spacing w:after="0"/>
      </w:pPr>
      <w:r>
        <w:separator/>
      </w:r>
    </w:p>
    <w:p w:rsidR="006E1BDE" w:rsidRDefault="006E1BDE"/>
  </w:endnote>
  <w:endnote w:type="continuationSeparator" w:id="0">
    <w:p w:rsidR="006E1BDE" w:rsidRDefault="00244DD3">
      <w:pPr>
        <w:spacing w:after="0"/>
      </w:pPr>
      <w:r>
        <w:continuationSeparator/>
      </w:r>
    </w:p>
    <w:p w:rsidR="006E1BDE" w:rsidRDefault="006E1BD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rinda">
    <w:panose1 w:val="00000400000000000000"/>
    <w:charset w:val="01"/>
    <w:family w:val="roman"/>
    <w:notTrueType/>
    <w:pitch w:val="variable"/>
  </w:font>
  <w:font w:name="Gotham-Book">
    <w:altName w:val="Cambria"/>
    <w:panose1 w:val="00000000000000000000"/>
    <w:charset w:val="00"/>
    <w:family w:val="swiss"/>
    <w:notTrueType/>
    <w:pitch w:val="default"/>
    <w:sig w:usb0="00000003" w:usb1="00000000" w:usb2="00000000" w:usb3="00000000" w:csb0="00000001" w:csb1="00000000"/>
  </w:font>
  <w:font w:name="Arial">
    <w:panose1 w:val="020B0604020202020204"/>
    <w:charset w:val="A1"/>
    <w:family w:val="swiss"/>
    <w:pitch w:val="variable"/>
    <w:sig w:usb0="E0002EFF" w:usb1="C000785B" w:usb2="00000009" w:usb3="00000000" w:csb0="000001FF" w:csb1="00000000"/>
  </w:font>
  <w:font w:name="Candara">
    <w:panose1 w:val="020E0502030303020204"/>
    <w:charset w:val="A1"/>
    <w:family w:val="swiss"/>
    <w:pitch w:val="variable"/>
    <w:sig w:usb0="A00002EF" w:usb1="4000A44B"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A1"/>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EC Square Sans Pro">
    <w:altName w:val="Cambria"/>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A1"/>
    <w:family w:val="swiss"/>
    <w:pitch w:val="variable"/>
    <w:sig w:usb0="E0002AFF" w:usb1="C000247B" w:usb2="00000009" w:usb3="00000000" w:csb0="000001FF" w:csb1="00000000"/>
  </w:font>
  <w:font w:name="Helvetica">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1BDE" w:rsidRDefault="00244DD3">
    <w:pPr>
      <w:pStyle w:val="Footer"/>
      <w:rPr>
        <w:color w:val="808080" w:themeColor="background2" w:themeShade="80"/>
        <w:sz w:val="18"/>
        <w:szCs w:val="18"/>
      </w:rPr>
    </w:pPr>
    <w:r>
      <w:rPr>
        <w:color w:val="808080" w:themeColor="background2" w:themeShade="80"/>
        <w:sz w:val="18"/>
        <w:szCs w:val="18"/>
      </w:rPr>
      <w:t>Prepared for EXERGIA S.A. by Radhika Singh et al.</w:t>
    </w:r>
    <w:r>
      <w:rPr>
        <w:color w:val="808080" w:themeColor="background2" w:themeShade="80"/>
        <w:sz w:val="18"/>
        <w:szCs w:val="18"/>
      </w:rPr>
      <w:ptab w:relativeTo="margin" w:alignment="center" w:leader="none"/>
    </w:r>
    <w:r>
      <w:rPr>
        <w:color w:val="808080" w:themeColor="background2" w:themeShade="80"/>
        <w:sz w:val="18"/>
        <w:szCs w:val="18"/>
      </w:rPr>
      <w:ptab w:relativeTo="margin" w:alignment="right" w:leader="none"/>
    </w:r>
    <w:r>
      <w:rPr>
        <w:rFonts w:asciiTheme="minorHAnsi" w:hAnsiTheme="minorHAnsi" w:cstheme="minorHAnsi"/>
        <w:color w:val="808080" w:themeColor="background2" w:themeShade="80"/>
        <w:sz w:val="18"/>
        <w:szCs w:val="18"/>
      </w:rPr>
      <w:fldChar w:fldCharType="begin"/>
    </w:r>
    <w:r>
      <w:rPr>
        <w:rFonts w:asciiTheme="minorHAnsi" w:hAnsiTheme="minorHAnsi" w:cstheme="minorHAnsi"/>
        <w:color w:val="808080" w:themeColor="background2" w:themeShade="80"/>
        <w:sz w:val="18"/>
        <w:szCs w:val="18"/>
      </w:rPr>
      <w:instrText xml:space="preserve"> PAGE   \* MERGEFORMAT </w:instrText>
    </w:r>
    <w:r>
      <w:rPr>
        <w:rFonts w:asciiTheme="minorHAnsi" w:hAnsiTheme="minorHAnsi" w:cstheme="minorHAnsi"/>
        <w:color w:val="808080" w:themeColor="background2" w:themeShade="80"/>
        <w:sz w:val="18"/>
        <w:szCs w:val="18"/>
      </w:rPr>
      <w:fldChar w:fldCharType="separate"/>
    </w:r>
    <w:r>
      <w:rPr>
        <w:rFonts w:asciiTheme="minorHAnsi" w:hAnsiTheme="minorHAnsi" w:cstheme="minorHAnsi"/>
        <w:noProof/>
        <w:color w:val="808080" w:themeColor="background2" w:themeShade="80"/>
        <w:sz w:val="18"/>
        <w:szCs w:val="18"/>
      </w:rPr>
      <w:t>39</w:t>
    </w:r>
    <w:r>
      <w:rPr>
        <w:rFonts w:asciiTheme="minorHAnsi" w:hAnsiTheme="minorHAnsi" w:cstheme="minorHAnsi"/>
        <w:noProof/>
        <w:color w:val="808080" w:themeColor="background2" w:themeShade="80"/>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1BDE" w:rsidRDefault="00244DD3">
    <w:pPr>
      <w:pStyle w:val="Footer"/>
    </w:pPr>
    <w:r>
      <w:rPr>
        <w:color w:val="808080" w:themeColor="background2" w:themeShade="80"/>
        <w:sz w:val="18"/>
        <w:szCs w:val="18"/>
      </w:rPr>
      <w:t>EXERGIA S.A.</w:t>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E1BDE" w:rsidRDefault="00244DD3">
      <w:pPr>
        <w:spacing w:after="0"/>
      </w:pPr>
      <w:r>
        <w:separator/>
      </w:r>
    </w:p>
  </w:footnote>
  <w:footnote w:type="continuationSeparator" w:id="0">
    <w:p w:rsidR="006E1BDE" w:rsidRDefault="00244DD3">
      <w:pPr>
        <w:spacing w:after="0"/>
      </w:pPr>
      <w:r>
        <w:continuationSeparator/>
      </w:r>
    </w:p>
    <w:p w:rsidR="006E1BDE" w:rsidRDefault="006E1BDE"/>
  </w:footnote>
  <w:footnote w:id="1">
    <w:p w:rsidR="006E1BDE" w:rsidRDefault="00244DD3">
      <w:pPr>
        <w:pStyle w:val="FootnoteText"/>
        <w:jc w:val="left"/>
        <w:rPr>
          <w:rStyle w:val="FootnoteReference"/>
          <w:vertAlign w:val="baseline"/>
        </w:rPr>
      </w:pPr>
      <w:r>
        <w:rPr>
          <w:rStyle w:val="FootnoteReference"/>
          <w:vertAlign w:val="baseline"/>
        </w:rPr>
        <w:footnoteRef/>
      </w:r>
      <w:r>
        <w:rPr>
          <w:rStyle w:val="FootnoteReference"/>
          <w:vertAlign w:val="baseline"/>
        </w:rPr>
        <w:t xml:space="preserve"> </w:t>
      </w:r>
      <w:r>
        <w:rPr>
          <w:rStyle w:val="FootnoteReference"/>
          <w:vertAlign w:val="baseline"/>
        </w:rPr>
        <w:tab/>
      </w:r>
      <w:r>
        <w:t xml:space="preserve">See </w:t>
      </w:r>
      <w:hyperlink r:id="rId1" w:history="1">
        <w:r>
          <w:rPr>
            <w:rStyle w:val="Hyperlink"/>
          </w:rPr>
          <w:t>http://artfuelsforum.eu</w:t>
        </w:r>
      </w:hyperlink>
      <w:r>
        <w:t xml:space="preserve">. </w:t>
      </w:r>
    </w:p>
  </w:footnote>
  <w:footnote w:id="2">
    <w:p w:rsidR="006E1BDE" w:rsidRDefault="00244DD3">
      <w:pPr>
        <w:pStyle w:val="FootnoteText"/>
        <w:jc w:val="left"/>
        <w:rPr>
          <w:rStyle w:val="FootnoteReference"/>
        </w:rPr>
      </w:pPr>
      <w:r>
        <w:rPr>
          <w:rStyle w:val="FootnoteReference"/>
        </w:rPr>
        <w:footnoteRef/>
      </w:r>
      <w:r>
        <w:rPr>
          <w:rStyle w:val="FootnoteReference"/>
        </w:rPr>
        <w:t xml:space="preserve"> </w:t>
      </w:r>
      <w:r>
        <w:rPr>
          <w:rStyle w:val="FootnoteReference"/>
        </w:rPr>
        <w:tab/>
      </w:r>
      <w:r>
        <w:t xml:space="preserve">See </w:t>
      </w:r>
      <w:hyperlink r:id="rId2" w:history="1">
        <w:r>
          <w:rPr>
            <w:rStyle w:val="Hyperlink"/>
          </w:rPr>
          <w:t>http://petroleum.nic.in/</w:t>
        </w:r>
      </w:hyperlink>
      <w:r>
        <w:t xml:space="preserve">. </w:t>
      </w:r>
    </w:p>
  </w:footnote>
  <w:footnote w:id="3">
    <w:p w:rsidR="006E1BDE" w:rsidRDefault="00244DD3">
      <w:pPr>
        <w:pStyle w:val="FootnoteText"/>
        <w:jc w:val="left"/>
        <w:rPr>
          <w:rStyle w:val="FootnoteReference"/>
        </w:rPr>
      </w:pPr>
      <w:r>
        <w:rPr>
          <w:rStyle w:val="FootnoteReference"/>
        </w:rPr>
        <w:footnoteRef/>
      </w:r>
      <w:r>
        <w:rPr>
          <w:rStyle w:val="FootnoteReference"/>
        </w:rPr>
        <w:t xml:space="preserve"> </w:t>
      </w:r>
      <w:r>
        <w:rPr>
          <w:rStyle w:val="FootnoteReference"/>
        </w:rPr>
        <w:tab/>
      </w:r>
      <w:r>
        <w:t xml:space="preserve">See </w:t>
      </w:r>
      <w:hyperlink r:id="rId3" w:history="1">
        <w:r>
          <w:rPr>
            <w:rStyle w:val="Hyperlink"/>
          </w:rPr>
          <w:t>http://exergia.gr/</w:t>
        </w:r>
      </w:hyperlink>
      <w:r>
        <w:t xml:space="preserve">. </w:t>
      </w:r>
    </w:p>
  </w:footnote>
  <w:footnote w:id="4">
    <w:p w:rsidR="006E1BDE" w:rsidRDefault="00244DD3">
      <w:pPr>
        <w:pStyle w:val="FootnoteText"/>
        <w:jc w:val="left"/>
        <w:rPr>
          <w:rStyle w:val="FootnoteReference"/>
        </w:rPr>
      </w:pPr>
      <w:r>
        <w:rPr>
          <w:rStyle w:val="FootnoteReference"/>
        </w:rPr>
        <w:footnoteRef/>
      </w:r>
      <w:r>
        <w:rPr>
          <w:rStyle w:val="FootnoteReference"/>
        </w:rPr>
        <w:t xml:space="preserve"> </w:t>
      </w:r>
      <w:r>
        <w:rPr>
          <w:rStyle w:val="FootnoteReference"/>
        </w:rPr>
        <w:tab/>
      </w:r>
      <w:r>
        <w:t xml:space="preserve">See </w:t>
      </w:r>
      <w:hyperlink r:id="rId4" w:history="1">
        <w:r>
          <w:rPr>
            <w:rStyle w:val="Hyperlink"/>
          </w:rPr>
          <w:t>http://www.re-cord.org</w:t>
        </w:r>
      </w:hyperlink>
      <w:r>
        <w:t xml:space="preserve">. </w:t>
      </w:r>
    </w:p>
  </w:footnote>
  <w:footnote w:id="5">
    <w:p w:rsidR="006E1BDE" w:rsidRDefault="00244DD3">
      <w:pPr>
        <w:pStyle w:val="FootnoteText"/>
        <w:jc w:val="left"/>
      </w:pPr>
      <w:r>
        <w:rPr>
          <w:rStyle w:val="FootnoteReference"/>
        </w:rPr>
        <w:footnoteRef/>
      </w:r>
      <w:r>
        <w:rPr>
          <w:rStyle w:val="FootnoteReference"/>
        </w:rPr>
        <w:t xml:space="preserve"> </w:t>
      </w:r>
      <w:r>
        <w:rPr>
          <w:rStyle w:val="FootnoteReference"/>
        </w:rPr>
        <w:tab/>
      </w:r>
      <w:r>
        <w:t xml:space="preserve">See </w:t>
      </w:r>
      <w:hyperlink r:id="rId5" w:history="1">
        <w:r>
          <w:rPr>
            <w:rStyle w:val="Hyperlink"/>
          </w:rPr>
          <w:t>https://ec.europa.eu/energy/en/home</w:t>
        </w:r>
      </w:hyperlink>
      <w:r>
        <w:t xml:space="preserve">. </w:t>
      </w:r>
    </w:p>
  </w:footnote>
  <w:footnote w:id="6">
    <w:p w:rsidR="006E1BDE" w:rsidRDefault="00244DD3">
      <w:pPr>
        <w:pStyle w:val="FootnoteText"/>
      </w:pPr>
      <w:r>
        <w:rPr>
          <w:rStyle w:val="FootnoteReference"/>
        </w:rPr>
        <w:footnoteRef/>
      </w:r>
      <w:r>
        <w:t xml:space="preserve"> </w:t>
      </w:r>
      <w:r>
        <w:tab/>
        <w:t>See section 8.3 Financing mechanisms in India</w:t>
      </w:r>
    </w:p>
  </w:footnote>
  <w:footnote w:id="7">
    <w:p w:rsidR="006E1BDE" w:rsidRDefault="00244DD3">
      <w:pPr>
        <w:pStyle w:val="FootnoteText"/>
        <w:jc w:val="left"/>
      </w:pPr>
      <w:r>
        <w:rPr>
          <w:rStyle w:val="FootnoteReference"/>
        </w:rPr>
        <w:footnoteRef/>
      </w:r>
      <w:r>
        <w:t xml:space="preserve"> </w:t>
      </w:r>
      <w:r>
        <w:tab/>
        <w:t xml:space="preserve">See </w:t>
      </w:r>
      <w:hyperlink r:id="rId6" w:history="1">
        <w:r>
          <w:rPr>
            <w:rStyle w:val="Hyperlink"/>
          </w:rPr>
          <w:t>https://ec</w:t>
        </w:r>
        <w:r>
          <w:rPr>
            <w:rStyle w:val="Hyperlink"/>
          </w:rPr>
          <w:t>.europa.eu/info/events/eu-india-conference-advanced-biofuels-2018-mar-07_en</w:t>
        </w:r>
      </w:hyperlink>
      <w:r>
        <w:t xml:space="preserve">. </w:t>
      </w:r>
    </w:p>
  </w:footnote>
  <w:footnote w:id="8">
    <w:p w:rsidR="006E1BDE" w:rsidRDefault="00244DD3">
      <w:pPr>
        <w:pStyle w:val="FootnoteText"/>
        <w:jc w:val="left"/>
      </w:pPr>
      <w:r>
        <w:rPr>
          <w:rStyle w:val="FootnoteReference"/>
        </w:rPr>
        <w:footnoteRef/>
      </w:r>
      <w:r>
        <w:t xml:space="preserve"> </w:t>
      </w:r>
      <w:r>
        <w:tab/>
        <w:t xml:space="preserve">Commission Green Paper of 20 November 1996 on renewable sources of energy, Available at </w:t>
      </w:r>
      <w:hyperlink r:id="rId7" w:history="1">
        <w:r>
          <w:rPr>
            <w:rStyle w:val="Hyperlink"/>
          </w:rPr>
          <w:t>https://eur-lex.europa.eu/legal-content/EN/TXT/HTML/?uri=LEGISSUM:l27018&amp;from=EN</w:t>
        </w:r>
      </w:hyperlink>
      <w:r>
        <w:rPr>
          <w:rStyle w:val="Hyperlink"/>
        </w:rPr>
        <w:t>.</w:t>
      </w:r>
      <w:r>
        <w:t xml:space="preserve"> </w:t>
      </w:r>
    </w:p>
  </w:footnote>
  <w:footnote w:id="9">
    <w:p w:rsidR="006E1BDE" w:rsidRDefault="00244DD3">
      <w:pPr>
        <w:pStyle w:val="FootnoteText"/>
        <w:jc w:val="left"/>
      </w:pPr>
      <w:r>
        <w:rPr>
          <w:rStyle w:val="FootnoteReference"/>
        </w:rPr>
        <w:footnoteRef/>
      </w:r>
      <w:r>
        <w:t xml:space="preserve"> </w:t>
      </w:r>
      <w:r>
        <w:tab/>
        <w:t>COM (97) 196 final, 14 May 1997, 'The Energy Dimension of Climate Change'.</w:t>
      </w:r>
    </w:p>
  </w:footnote>
  <w:footnote w:id="10">
    <w:p w:rsidR="006E1BDE" w:rsidRDefault="00244DD3">
      <w:pPr>
        <w:pStyle w:val="FootnoteText"/>
        <w:jc w:val="left"/>
      </w:pPr>
      <w:r>
        <w:rPr>
          <w:rStyle w:val="FootnoteReference"/>
        </w:rPr>
        <w:footnoteRef/>
      </w:r>
      <w:r>
        <w:t xml:space="preserve"> </w:t>
      </w:r>
      <w:r>
        <w:tab/>
        <w:t>COM(97)599 final, 26 November 1997, 'Energy for the future: Renewable sources of e</w:t>
      </w:r>
      <w:r>
        <w:t>nergy – White Paper for a Community Strategy and Action Plan'.</w:t>
      </w:r>
    </w:p>
  </w:footnote>
  <w:footnote w:id="11">
    <w:p w:rsidR="006E1BDE" w:rsidRDefault="00244DD3">
      <w:pPr>
        <w:pStyle w:val="FootnoteText"/>
        <w:jc w:val="left"/>
      </w:pPr>
      <w:r>
        <w:rPr>
          <w:rStyle w:val="FootnoteReference"/>
        </w:rPr>
        <w:footnoteRef/>
      </w:r>
      <w:r>
        <w:t xml:space="preserve"> </w:t>
      </w:r>
      <w:r>
        <w:tab/>
        <w:t>The White Paper put forward several key messages: 1) 'According to the particular, scenario outlined, the main contribution of RES growth (90 Milllion tons of oil equivalent) could come from</w:t>
      </w:r>
      <w:r>
        <w:t xml:space="preserve"> biomass, tripling its level of utilisation; and 2) '….plus a significant increase of biofuel in transport fuel use by 2010 are important elements in the scenario for achieving the overall Union objective.'</w:t>
      </w:r>
    </w:p>
  </w:footnote>
  <w:footnote w:id="12">
    <w:p w:rsidR="006E1BDE" w:rsidRDefault="00244DD3">
      <w:pPr>
        <w:pStyle w:val="FootnoteText"/>
        <w:autoSpaceDE w:val="0"/>
        <w:autoSpaceDN w:val="0"/>
        <w:adjustRightInd w:val="0"/>
        <w:jc w:val="left"/>
      </w:pPr>
      <w:r>
        <w:rPr>
          <w:rStyle w:val="FootnoteReference"/>
        </w:rPr>
        <w:footnoteRef/>
      </w:r>
      <w:r>
        <w:t xml:space="preserve"> </w:t>
      </w:r>
      <w:r>
        <w:tab/>
        <w:t>The aims of the European Auto-Oil II Programme</w:t>
      </w:r>
      <w:r>
        <w:t xml:space="preserve"> were to make an assessment of the future trends in emissions and air quality and establish a consistent framework within which different policy options to reduce emissions can be assessed using the principles of cost-effectiveness, sound science and trans</w:t>
      </w:r>
      <w:r>
        <w:t xml:space="preserve">parency; and to provide a foundation (in terms of data and modelling tools) for the transition towards longer term air quality studies covering all emission sources, see: </w:t>
      </w:r>
      <w:hyperlink r:id="rId8" w:history="1">
        <w:r>
          <w:rPr>
            <w:rStyle w:val="Hyperlink"/>
          </w:rPr>
          <w:t>http://ec.</w:t>
        </w:r>
        <w:r>
          <w:rPr>
            <w:rStyle w:val="Hyperlink"/>
          </w:rPr>
          <w:t>europa.eu/environment/archives/autooil/index.htm</w:t>
        </w:r>
      </w:hyperlink>
      <w:r>
        <w:t xml:space="preserve">. </w:t>
      </w:r>
    </w:p>
  </w:footnote>
  <w:footnote w:id="13">
    <w:p w:rsidR="006E1BDE" w:rsidRDefault="00244DD3">
      <w:pPr>
        <w:pStyle w:val="FootnoteText"/>
        <w:jc w:val="left"/>
      </w:pPr>
      <w:r>
        <w:rPr>
          <w:rStyle w:val="FootnoteReference"/>
        </w:rPr>
        <w:footnoteRef/>
      </w:r>
      <w:r>
        <w:t xml:space="preserve"> </w:t>
      </w:r>
      <w:r>
        <w:tab/>
        <w:t xml:space="preserve">See footnote 5, section </w:t>
      </w:r>
      <w:r>
        <w:rPr>
          <w:bCs/>
        </w:rPr>
        <w:t>2.2.3 New Bioenergy Initiative for Transport, Heat and Electricity.</w:t>
      </w:r>
    </w:p>
  </w:footnote>
  <w:footnote w:id="14">
    <w:p w:rsidR="006E1BDE" w:rsidRDefault="00244DD3">
      <w:pPr>
        <w:pStyle w:val="FootnoteText"/>
        <w:jc w:val="left"/>
      </w:pPr>
      <w:r>
        <w:rPr>
          <w:rStyle w:val="FootnoteReference"/>
        </w:rPr>
        <w:footnoteRef/>
      </w:r>
      <w:r>
        <w:t xml:space="preserve"> </w:t>
      </w:r>
      <w:r>
        <w:tab/>
        <w:t xml:space="preserve">COM(2001) 370 final, of 12 September 2001, White Paper 'European transport policy for 2010: time to </w:t>
      </w:r>
      <w:r>
        <w:t>decide'.</w:t>
      </w:r>
    </w:p>
  </w:footnote>
  <w:footnote w:id="15">
    <w:p w:rsidR="006E1BDE" w:rsidRDefault="00244DD3">
      <w:pPr>
        <w:pStyle w:val="FootnoteText"/>
        <w:jc w:val="left"/>
      </w:pPr>
      <w:r>
        <w:rPr>
          <w:rStyle w:val="FootnoteReference"/>
        </w:rPr>
        <w:footnoteRef/>
      </w:r>
      <w:r>
        <w:t xml:space="preserve"> </w:t>
      </w:r>
      <w:r>
        <w:tab/>
        <w:t>Directive 2003/30/EC of the European Parliament and of the Council of 8 May 2003 on the promotion of the use of biofuels and other renewable fuels for transport.</w:t>
      </w:r>
    </w:p>
  </w:footnote>
  <w:footnote w:id="16">
    <w:p w:rsidR="006E1BDE" w:rsidRDefault="00244DD3">
      <w:pPr>
        <w:pStyle w:val="FootnoteText"/>
        <w:jc w:val="left"/>
      </w:pPr>
      <w:r>
        <w:rPr>
          <w:rStyle w:val="FootnoteReference"/>
        </w:rPr>
        <w:footnoteRef/>
      </w:r>
      <w:r>
        <w:t xml:space="preserve"> </w:t>
      </w:r>
      <w:r>
        <w:tab/>
        <w:t>Note: the percentage targets are based on energy basis and not volume basis.</w:t>
      </w:r>
    </w:p>
  </w:footnote>
  <w:footnote w:id="17">
    <w:p w:rsidR="006E1BDE" w:rsidRDefault="00244DD3">
      <w:pPr>
        <w:pStyle w:val="FootnoteText"/>
        <w:jc w:val="left"/>
      </w:pPr>
      <w:r>
        <w:rPr>
          <w:rStyle w:val="FootnoteReference"/>
        </w:rPr>
        <w:footnoteRef/>
      </w:r>
      <w:r>
        <w:t xml:space="preserve"> </w:t>
      </w:r>
      <w:r>
        <w:tab/>
        <w:t>Directive 98/70/EC of the European Parliament and of the Council of 13 October 1998 relating to the quality of petrol and diesel fuels and amending Council Directive 93/12/EEC, OJ L 350, 28.12.1998, p. 58, as amended.</w:t>
      </w:r>
    </w:p>
  </w:footnote>
  <w:footnote w:id="18">
    <w:p w:rsidR="006E1BDE" w:rsidRDefault="00244DD3">
      <w:pPr>
        <w:pStyle w:val="FootnoteText"/>
        <w:jc w:val="left"/>
      </w:pPr>
      <w:r>
        <w:rPr>
          <w:rStyle w:val="FootnoteReference"/>
        </w:rPr>
        <w:footnoteRef/>
      </w:r>
      <w:r>
        <w:t xml:space="preserve"> </w:t>
      </w:r>
      <w:r>
        <w:tab/>
        <w:t>Directive 2009/28/EC of the Europe</w:t>
      </w:r>
      <w:r>
        <w:t>an Parliament and of the Council of 23 April 2009 on the promotion of the use of energy from renewable sources and amending and subsequently repealing Directives 2001/77/EC and 2003/30/EC, OJ L 140, 5.6.2009, p. 16, as amended.</w:t>
      </w:r>
    </w:p>
  </w:footnote>
  <w:footnote w:id="19">
    <w:p w:rsidR="006E1BDE" w:rsidRDefault="00244DD3">
      <w:pPr>
        <w:pStyle w:val="FootnoteText"/>
        <w:jc w:val="left"/>
      </w:pPr>
      <w:r>
        <w:rPr>
          <w:rStyle w:val="FootnoteReference"/>
        </w:rPr>
        <w:footnoteRef/>
      </w:r>
      <w:r>
        <w:t xml:space="preserve"> </w:t>
      </w:r>
      <w:r>
        <w:tab/>
        <w:t>RED Article 2(h) and (i).</w:t>
      </w:r>
    </w:p>
  </w:footnote>
  <w:footnote w:id="20">
    <w:p w:rsidR="006E1BDE" w:rsidRDefault="00244DD3">
      <w:pPr>
        <w:pStyle w:val="FootnoteText"/>
        <w:jc w:val="left"/>
      </w:pPr>
      <w:r>
        <w:rPr>
          <w:rStyle w:val="FootnoteReference"/>
        </w:rPr>
        <w:footnoteRef/>
      </w:r>
      <w:r>
        <w:t xml:space="preserve"> </w:t>
      </w:r>
      <w:r>
        <w:tab/>
        <w:t>RED Article 3(4).</w:t>
      </w:r>
    </w:p>
  </w:footnote>
  <w:footnote w:id="21">
    <w:p w:rsidR="006E1BDE" w:rsidRDefault="00244DD3">
      <w:pPr>
        <w:pStyle w:val="FootnoteText"/>
        <w:jc w:val="left"/>
      </w:pPr>
      <w:r>
        <w:rPr>
          <w:rStyle w:val="FootnoteReference"/>
        </w:rPr>
        <w:footnoteRef/>
      </w:r>
      <w:r>
        <w:t xml:space="preserve"> </w:t>
      </w:r>
      <w:r>
        <w:tab/>
        <w:t>Directive (EU) 2015/1513 of the European Parliament and of the Council of 9 September 2015 amending Directive 98/70/EC relating to the quality of petrol and diesel fuels and amending Directive 2009/28/EC on the promotion of the use</w:t>
      </w:r>
      <w:r>
        <w:t xml:space="preserve"> of energy from renewable sources, OJ L239, 15.9.2015, p.1, recital 1.</w:t>
      </w:r>
    </w:p>
  </w:footnote>
  <w:footnote w:id="22">
    <w:p w:rsidR="006E1BDE" w:rsidRDefault="00244DD3">
      <w:pPr>
        <w:pStyle w:val="FootnoteText"/>
        <w:jc w:val="left"/>
      </w:pPr>
      <w:r>
        <w:rPr>
          <w:rStyle w:val="FootnoteReference"/>
        </w:rPr>
        <w:footnoteRef/>
      </w:r>
      <w:r>
        <w:t xml:space="preserve"> </w:t>
      </w:r>
      <w:r>
        <w:tab/>
        <w:t>RED Article 3(4)(d) and Annex IX.</w:t>
      </w:r>
    </w:p>
  </w:footnote>
  <w:footnote w:id="23">
    <w:p w:rsidR="006E1BDE" w:rsidRDefault="00244DD3">
      <w:pPr>
        <w:pStyle w:val="FootnoteText"/>
        <w:jc w:val="left"/>
      </w:pPr>
      <w:r>
        <w:rPr>
          <w:rStyle w:val="FootnoteReference"/>
        </w:rPr>
        <w:footnoteRef/>
      </w:r>
      <w:r>
        <w:t xml:space="preserve"> </w:t>
      </w:r>
      <w:r>
        <w:tab/>
        <w:t>ILUC concerns the displacement of agricultural production from land that was previously used to grow food or feed and that is subsequently used t</w:t>
      </w:r>
      <w:r>
        <w:t>o produce biofuels, to other land that was previously non-cropland such as grasslands and forests.</w:t>
      </w:r>
    </w:p>
  </w:footnote>
  <w:footnote w:id="24">
    <w:p w:rsidR="006E1BDE" w:rsidRDefault="00244DD3">
      <w:pPr>
        <w:pStyle w:val="FootnoteText"/>
        <w:jc w:val="left"/>
      </w:pPr>
      <w:r>
        <w:rPr>
          <w:rStyle w:val="FootnoteReference"/>
        </w:rPr>
        <w:footnoteRef/>
      </w:r>
      <w:r>
        <w:t xml:space="preserve"> </w:t>
      </w:r>
      <w:r>
        <w:tab/>
        <w:t>RED Article 3(4)(e).</w:t>
      </w:r>
    </w:p>
  </w:footnote>
  <w:footnote w:id="25">
    <w:p w:rsidR="006E1BDE" w:rsidRDefault="00244DD3">
      <w:pPr>
        <w:pStyle w:val="FootnoteText"/>
        <w:jc w:val="left"/>
      </w:pPr>
      <w:r>
        <w:rPr>
          <w:rStyle w:val="FootnoteReference"/>
        </w:rPr>
        <w:footnoteRef/>
      </w:r>
      <w:r>
        <w:t xml:space="preserve"> </w:t>
      </w:r>
      <w:r>
        <w:tab/>
      </w:r>
      <w:r>
        <w:rPr>
          <w:lang w:val="en-US"/>
        </w:rPr>
        <w:t>RED Article 3(4)(f) and Annex IX.</w:t>
      </w:r>
    </w:p>
  </w:footnote>
  <w:footnote w:id="26">
    <w:p w:rsidR="006E1BDE" w:rsidRDefault="00244DD3">
      <w:pPr>
        <w:pStyle w:val="FootnoteText"/>
        <w:jc w:val="left"/>
      </w:pPr>
      <w:r>
        <w:rPr>
          <w:rStyle w:val="FootnoteReference"/>
        </w:rPr>
        <w:footnoteRef/>
      </w:r>
      <w:r>
        <w:t xml:space="preserve"> </w:t>
      </w:r>
      <w:r>
        <w:tab/>
      </w:r>
      <w:r>
        <w:rPr>
          <w:lang w:val="nl-BE"/>
        </w:rPr>
        <w:t>RED Articles 5(1) and 17.</w:t>
      </w:r>
    </w:p>
  </w:footnote>
  <w:footnote w:id="27">
    <w:p w:rsidR="006E1BDE" w:rsidRDefault="00244DD3">
      <w:pPr>
        <w:pStyle w:val="FootnoteText"/>
        <w:jc w:val="left"/>
      </w:pPr>
      <w:r>
        <w:rPr>
          <w:rStyle w:val="FootnoteReference"/>
        </w:rPr>
        <w:footnoteRef/>
      </w:r>
      <w:r>
        <w:t xml:space="preserve"> </w:t>
      </w:r>
      <w:r>
        <w:tab/>
        <w:t>RED Article 17.</w:t>
      </w:r>
    </w:p>
  </w:footnote>
  <w:footnote w:id="28">
    <w:p w:rsidR="006E1BDE" w:rsidRDefault="00244DD3">
      <w:pPr>
        <w:pStyle w:val="FootnoteText"/>
        <w:jc w:val="left"/>
      </w:pPr>
      <w:r>
        <w:rPr>
          <w:rStyle w:val="FootnoteReference"/>
        </w:rPr>
        <w:footnoteRef/>
      </w:r>
      <w:r>
        <w:t xml:space="preserve"> </w:t>
      </w:r>
      <w:r>
        <w:tab/>
        <w:t>RED Article 18(4).</w:t>
      </w:r>
    </w:p>
  </w:footnote>
  <w:footnote w:id="29">
    <w:p w:rsidR="006E1BDE" w:rsidRDefault="00244DD3">
      <w:pPr>
        <w:pStyle w:val="FootnoteText"/>
        <w:jc w:val="left"/>
      </w:pPr>
      <w:r>
        <w:rPr>
          <w:rStyle w:val="FootnoteReference"/>
        </w:rPr>
        <w:footnoteRef/>
      </w:r>
      <w:r>
        <w:t xml:space="preserve"> </w:t>
      </w:r>
      <w:r>
        <w:rPr>
          <w:lang w:val="en-US"/>
        </w:rPr>
        <w:tab/>
        <w:t xml:space="preserve">See </w:t>
      </w:r>
      <w:hyperlink r:id="rId9" w:history="1">
        <w:r>
          <w:rPr>
            <w:rStyle w:val="Hyperlink"/>
            <w:lang w:val="en-US"/>
          </w:rPr>
          <w:t>https://ec.europa.eu/energy/en/topics/renewable-energy/biofuels/voluntary-schemes</w:t>
        </w:r>
      </w:hyperlink>
      <w:r>
        <w:rPr>
          <w:lang w:val="en-US"/>
        </w:rPr>
        <w:t xml:space="preserve">. </w:t>
      </w:r>
    </w:p>
  </w:footnote>
  <w:footnote w:id="30">
    <w:p w:rsidR="006E1BDE" w:rsidRDefault="00244DD3">
      <w:pPr>
        <w:pStyle w:val="FootnoteText"/>
        <w:jc w:val="left"/>
      </w:pPr>
      <w:r>
        <w:rPr>
          <w:rStyle w:val="FootnoteReference"/>
        </w:rPr>
        <w:footnoteRef/>
      </w:r>
      <w:r>
        <w:t xml:space="preserve"> </w:t>
      </w:r>
      <w:r>
        <w:tab/>
        <w:t>RED Article 18(4).</w:t>
      </w:r>
    </w:p>
  </w:footnote>
  <w:footnote w:id="31">
    <w:p w:rsidR="006E1BDE" w:rsidRDefault="00244DD3">
      <w:pPr>
        <w:pStyle w:val="FootnoteText"/>
        <w:jc w:val="left"/>
      </w:pPr>
      <w:r>
        <w:rPr>
          <w:rStyle w:val="FootnoteReference"/>
        </w:rPr>
        <w:footnoteRef/>
      </w:r>
      <w:r>
        <w:t xml:space="preserve"> </w:t>
      </w:r>
      <w:r>
        <w:tab/>
      </w:r>
      <w:r>
        <w:rPr>
          <w:lang w:val="nl-BE"/>
        </w:rPr>
        <w:t>RED Article 17(1)(c).</w:t>
      </w:r>
    </w:p>
  </w:footnote>
  <w:footnote w:id="32">
    <w:p w:rsidR="006E1BDE" w:rsidRDefault="00244DD3">
      <w:pPr>
        <w:pStyle w:val="FootnoteText"/>
        <w:jc w:val="left"/>
      </w:pPr>
      <w:r>
        <w:rPr>
          <w:rStyle w:val="FootnoteReference"/>
        </w:rPr>
        <w:footnoteRef/>
      </w:r>
      <w:r>
        <w:t xml:space="preserve"> </w:t>
      </w:r>
      <w:r>
        <w:tab/>
      </w:r>
      <w:r>
        <w:rPr>
          <w:lang w:val="nl-BE"/>
        </w:rPr>
        <w:t>RED Article 22.</w:t>
      </w:r>
    </w:p>
  </w:footnote>
  <w:footnote w:id="33">
    <w:p w:rsidR="006E1BDE" w:rsidRDefault="00244DD3">
      <w:pPr>
        <w:pStyle w:val="FootnoteText"/>
        <w:jc w:val="left"/>
      </w:pPr>
      <w:r>
        <w:rPr>
          <w:rStyle w:val="FootnoteReference"/>
        </w:rPr>
        <w:footnoteRef/>
      </w:r>
      <w:r>
        <w:t xml:space="preserve"> </w:t>
      </w:r>
      <w:r>
        <w:tab/>
      </w:r>
      <w:r>
        <w:rPr>
          <w:lang w:val="en-US"/>
        </w:rPr>
        <w:t>RED Art</w:t>
      </w:r>
      <w:r>
        <w:rPr>
          <w:lang w:val="en-US"/>
        </w:rPr>
        <w:t xml:space="preserve">icle 23. These reports can be found at: </w:t>
      </w:r>
      <w:hyperlink r:id="rId10" w:history="1">
        <w:r>
          <w:rPr>
            <w:rStyle w:val="Hyperlink"/>
            <w:lang w:val="en-US"/>
          </w:rPr>
          <w:t>https://ec.europa.eu/energy/en/topics/renewable-energy/progress-reports</w:t>
        </w:r>
      </w:hyperlink>
      <w:r>
        <w:rPr>
          <w:lang w:val="en-US"/>
        </w:rPr>
        <w:t xml:space="preserve">. </w:t>
      </w:r>
    </w:p>
  </w:footnote>
  <w:footnote w:id="34">
    <w:p w:rsidR="006E1BDE" w:rsidRDefault="00244DD3">
      <w:pPr>
        <w:pStyle w:val="FootnoteText"/>
        <w:jc w:val="left"/>
      </w:pPr>
      <w:r>
        <w:rPr>
          <w:rStyle w:val="FootnoteReference"/>
        </w:rPr>
        <w:footnoteRef/>
      </w:r>
      <w:r>
        <w:t xml:space="preserve"> </w:t>
      </w:r>
      <w:r>
        <w:tab/>
        <w:t>COM(2015) 80 final, of 25/02/2015, A Framework Stra</w:t>
      </w:r>
      <w:r>
        <w:t>tegy for a Resilient Energy Union with a Forward-Looking Climate Change Policy</w:t>
      </w:r>
    </w:p>
  </w:footnote>
  <w:footnote w:id="35">
    <w:p w:rsidR="006E1BDE" w:rsidRDefault="00244DD3">
      <w:pPr>
        <w:pStyle w:val="FootnoteText"/>
        <w:jc w:val="left"/>
      </w:pPr>
      <w:r>
        <w:rPr>
          <w:rStyle w:val="FootnoteReference"/>
        </w:rPr>
        <w:footnoteRef/>
      </w:r>
      <w:r>
        <w:t xml:space="preserve"> </w:t>
      </w:r>
      <w:r>
        <w:tab/>
        <w:t xml:space="preserve">See </w:t>
      </w:r>
      <w:hyperlink r:id="rId11" w:history="1">
        <w:r>
          <w:rPr>
            <w:rStyle w:val="Hyperlink"/>
          </w:rPr>
          <w:t>https://ec.europa.eu/energy/en/news/commission-</w:t>
        </w:r>
        <w:r>
          <w:rPr>
            <w:rStyle w:val="Hyperlink"/>
          </w:rPr>
          <w:t>proposes-new-rules-consumer-centred-clean-energy-transition</w:t>
        </w:r>
      </w:hyperlink>
      <w:r>
        <w:t xml:space="preserve">. </w:t>
      </w:r>
    </w:p>
  </w:footnote>
  <w:footnote w:id="36">
    <w:p w:rsidR="006E1BDE" w:rsidRDefault="00244DD3">
      <w:pPr>
        <w:pStyle w:val="FootnoteText"/>
        <w:jc w:val="left"/>
        <w:rPr>
          <w:lang w:val="en-US"/>
        </w:rPr>
      </w:pPr>
      <w:r>
        <w:rPr>
          <w:rStyle w:val="FootnoteReference"/>
        </w:rPr>
        <w:footnoteRef/>
      </w:r>
      <w:r>
        <w:t xml:space="preserve"> </w:t>
      </w:r>
      <w:r>
        <w:tab/>
        <w:t xml:space="preserve">See </w:t>
      </w:r>
      <w:hyperlink r:id="rId12" w:history="1">
        <w:r>
          <w:rPr>
            <w:rStyle w:val="Hyperlink"/>
          </w:rPr>
          <w:t>http://eur-lex.europa.eu/legal-content/EN/TXT/PDF/?uri=CELEX:52016PC0767R(01)&amp;from=EN</w:t>
        </w:r>
      </w:hyperlink>
      <w:r>
        <w:t xml:space="preserve">. </w:t>
      </w:r>
    </w:p>
  </w:footnote>
  <w:footnote w:id="37">
    <w:p w:rsidR="006E1BDE" w:rsidRDefault="00244DD3">
      <w:pPr>
        <w:pStyle w:val="FootnoteText"/>
        <w:jc w:val="left"/>
        <w:rPr>
          <w:lang w:val="en-US"/>
        </w:rPr>
      </w:pPr>
      <w:r>
        <w:rPr>
          <w:rStyle w:val="FootnoteReference"/>
        </w:rPr>
        <w:footnoteRef/>
      </w:r>
      <w:r>
        <w:t xml:space="preserve"> </w:t>
      </w:r>
      <w:r>
        <w:tab/>
        <w:t>See Figure 10 in “Building up the future”, Sub Group on Advanced Biofuels, edited: Kyriakos Maniatis, Lars Waldheim, Eric van den Heuvel &amp; Stamatis Kalligeros, February 2017.</w:t>
      </w:r>
    </w:p>
  </w:footnote>
  <w:footnote w:id="38">
    <w:p w:rsidR="006E1BDE" w:rsidRDefault="00244DD3">
      <w:pPr>
        <w:pStyle w:val="FootnoteText"/>
        <w:jc w:val="left"/>
        <w:rPr>
          <w:lang w:val="en-US"/>
        </w:rPr>
      </w:pPr>
      <w:r>
        <w:rPr>
          <w:rStyle w:val="FootnoteReference"/>
        </w:rPr>
        <w:footnoteRef/>
      </w:r>
      <w:r>
        <w:t xml:space="preserve"> </w:t>
      </w:r>
      <w:r>
        <w:tab/>
      </w:r>
      <w:r>
        <w:rPr>
          <w:lang w:val="en-US"/>
        </w:rPr>
        <w:t>ICCT policy update, January 2017, The European Commission’s Renewable En</w:t>
      </w:r>
      <w:r>
        <w:rPr>
          <w:lang w:val="en-US"/>
        </w:rPr>
        <w:t xml:space="preserve">ergy proposal for 2030. See </w:t>
      </w:r>
      <w:hyperlink r:id="rId13" w:history="1">
        <w:r>
          <w:rPr>
            <w:rStyle w:val="Hyperlink"/>
            <w:lang w:val="en-US"/>
          </w:rPr>
          <w:t>https://www.theicct.org/sites/default/files/publications/RED%20II_ICCT_Policy-Update_vF_jan2017.pdf</w:t>
        </w:r>
      </w:hyperlink>
      <w:r>
        <w:rPr>
          <w:rStyle w:val="Hyperlink"/>
          <w:lang w:val="en-US"/>
        </w:rPr>
        <w:t>.</w:t>
      </w:r>
    </w:p>
  </w:footnote>
  <w:footnote w:id="39">
    <w:p w:rsidR="006E1BDE" w:rsidRDefault="00244DD3">
      <w:pPr>
        <w:pStyle w:val="FootnoteText"/>
        <w:jc w:val="left"/>
        <w:rPr>
          <w:lang w:val="en-US"/>
        </w:rPr>
      </w:pPr>
      <w:r>
        <w:rPr>
          <w:rStyle w:val="FootnoteReference"/>
        </w:rPr>
        <w:footnoteRef/>
      </w:r>
      <w:r>
        <w:t xml:space="preserve"> </w:t>
      </w:r>
      <w:r>
        <w:tab/>
      </w:r>
      <w:r>
        <w:rPr>
          <w:lang w:val="en-US"/>
        </w:rPr>
        <w:t>European</w:t>
      </w:r>
      <w:r>
        <w:rPr>
          <w:lang w:val="en-US"/>
        </w:rPr>
        <w:t xml:space="preserve"> Technology Innovation Platform Bioenergy (ETIP-B), Secretariat, meeting 13 March 2019, Brussels.</w:t>
      </w:r>
    </w:p>
  </w:footnote>
  <w:footnote w:id="40">
    <w:p w:rsidR="006E1BDE" w:rsidRDefault="00244DD3">
      <w:pPr>
        <w:pStyle w:val="FootnoteText"/>
        <w:jc w:val="left"/>
      </w:pPr>
      <w:r>
        <w:rPr>
          <w:rStyle w:val="FootnoteReference"/>
        </w:rPr>
        <w:footnoteRef/>
      </w:r>
      <w:r>
        <w:t xml:space="preserve"> </w:t>
      </w:r>
      <w:r>
        <w:tab/>
        <w:t xml:space="preserve">See </w:t>
      </w:r>
      <w:hyperlink r:id="rId14" w:history="1">
        <w:r>
          <w:rPr>
            <w:rStyle w:val="Hyperlink"/>
          </w:rPr>
          <w:t>http://164.100.47.194/Loksabha/Debates/Result13.aspx?dbsl=1225</w:t>
        </w:r>
      </w:hyperlink>
      <w:r>
        <w:t xml:space="preserve">. </w:t>
      </w:r>
    </w:p>
  </w:footnote>
  <w:footnote w:id="41">
    <w:p w:rsidR="006E1BDE" w:rsidRDefault="00244DD3">
      <w:pPr>
        <w:pStyle w:val="FootnoteText"/>
        <w:jc w:val="left"/>
      </w:pPr>
      <w:r>
        <w:rPr>
          <w:rStyle w:val="FootnoteReference"/>
        </w:rPr>
        <w:footnoteRef/>
      </w:r>
      <w:r>
        <w:t xml:space="preserve"> </w:t>
      </w:r>
      <w:r>
        <w:tab/>
        <w:t>Ibid</w:t>
      </w:r>
      <w:r>
        <w:t>.</w:t>
      </w:r>
    </w:p>
  </w:footnote>
  <w:footnote w:id="42">
    <w:p w:rsidR="006E1BDE" w:rsidRDefault="00244DD3">
      <w:pPr>
        <w:pStyle w:val="FootnoteText"/>
        <w:jc w:val="left"/>
      </w:pPr>
      <w:r>
        <w:rPr>
          <w:rStyle w:val="FootnoteReference"/>
        </w:rPr>
        <w:footnoteRef/>
      </w:r>
      <w:r>
        <w:t xml:space="preserve"> </w:t>
      </w:r>
      <w:r>
        <w:tab/>
        <w:t xml:space="preserve">See </w:t>
      </w:r>
      <w:hyperlink r:id="rId15" w:history="1">
        <w:r>
          <w:rPr>
            <w:rStyle w:val="Hyperlink"/>
          </w:rPr>
          <w:t>http://pib.nic.in/newsite/erelcontent.aspx?relid=128</w:t>
        </w:r>
      </w:hyperlink>
      <w:r>
        <w:t xml:space="preserve">. </w:t>
      </w:r>
    </w:p>
  </w:footnote>
  <w:footnote w:id="43">
    <w:p w:rsidR="006E1BDE" w:rsidRDefault="00244DD3">
      <w:pPr>
        <w:pStyle w:val="FootnoteText"/>
        <w:jc w:val="left"/>
      </w:pPr>
      <w:r>
        <w:rPr>
          <w:rStyle w:val="FootnoteReference"/>
        </w:rPr>
        <w:footnoteRef/>
      </w:r>
      <w:r>
        <w:t xml:space="preserve"> </w:t>
      </w:r>
      <w:r>
        <w:tab/>
      </w:r>
      <w:r>
        <w:t xml:space="preserve">The states included Maharashtra, Gujarat, Goa, Utter Pradesh, Haryana, Punjab, Karnataka, Andhra Pradesh, Tamil Nadu, Chandigarh, Puducherry, Dadra &amp; Nagar Haveli, Daman 1 Diu Government Notification available at  </w:t>
      </w:r>
      <w:hyperlink r:id="rId16" w:history="1">
        <w:r>
          <w:rPr>
            <w:rStyle w:val="Hyperlink"/>
          </w:rPr>
          <w:t>http://ppac.org.in/WriteReadData/userfiles/file/Govt_Link12.pdf</w:t>
        </w:r>
      </w:hyperlink>
      <w:r>
        <w:t xml:space="preserve">. </w:t>
      </w:r>
    </w:p>
  </w:footnote>
  <w:footnote w:id="44">
    <w:p w:rsidR="006E1BDE" w:rsidRDefault="00244DD3">
      <w:pPr>
        <w:pStyle w:val="FootnoteText"/>
        <w:jc w:val="left"/>
      </w:pPr>
      <w:r>
        <w:rPr>
          <w:rStyle w:val="FootnoteReference"/>
        </w:rPr>
        <w:footnoteRef/>
      </w:r>
      <w:r>
        <w:t xml:space="preserve"> </w:t>
      </w:r>
      <w:r>
        <w:tab/>
        <w:t xml:space="preserve">Planning Commission Report of the Committee on Development of Biofuel, April 2003, Available at </w:t>
      </w:r>
      <w:hyperlink r:id="rId17" w:history="1">
        <w:r>
          <w:rPr>
            <w:rStyle w:val="Hyperlink"/>
          </w:rPr>
          <w:t>http://planningcommission.nic.in/reports/genrep/cmtt_bio.pdf</w:t>
        </w:r>
      </w:hyperlink>
      <w:r>
        <w:rPr>
          <w:rStyle w:val="Hyperlink"/>
        </w:rPr>
        <w:t>.</w:t>
      </w:r>
    </w:p>
  </w:footnote>
  <w:footnote w:id="45">
    <w:p w:rsidR="006E1BDE" w:rsidRDefault="00244DD3">
      <w:pPr>
        <w:pStyle w:val="FootnoteText"/>
        <w:jc w:val="left"/>
      </w:pPr>
      <w:r>
        <w:rPr>
          <w:rStyle w:val="FootnoteReference"/>
        </w:rPr>
        <w:footnoteRef/>
      </w:r>
      <w:r>
        <w:t xml:space="preserve"> </w:t>
      </w:r>
      <w:r>
        <w:tab/>
        <w:t>Bandyopadhyay, K.R., Policy Brief on Biofuels promotion in India for Transport: Exploring the grey areas, The Energy Research Institute, New Delhi, 2015.</w:t>
      </w:r>
    </w:p>
  </w:footnote>
  <w:footnote w:id="46">
    <w:p w:rsidR="006E1BDE" w:rsidRDefault="00244DD3">
      <w:pPr>
        <w:pStyle w:val="FootnoteText"/>
        <w:jc w:val="left"/>
      </w:pPr>
      <w:r>
        <w:rPr>
          <w:rStyle w:val="FootnoteReference"/>
        </w:rPr>
        <w:footnoteRef/>
      </w:r>
      <w:r>
        <w:t xml:space="preserve"> </w:t>
      </w:r>
      <w:r>
        <w:tab/>
        <w:t>Ray S., Mi</w:t>
      </w:r>
      <w:r>
        <w:t>glani S., Goldar A., Ethanol Blending Policy in India: Demand and Supply Issues, ICRIER Policy Series, No.9, December 2011.</w:t>
      </w:r>
    </w:p>
  </w:footnote>
  <w:footnote w:id="47">
    <w:p w:rsidR="006E1BDE" w:rsidRDefault="00244DD3">
      <w:pPr>
        <w:pStyle w:val="FootnoteText"/>
        <w:jc w:val="left"/>
      </w:pPr>
      <w:r>
        <w:rPr>
          <w:rStyle w:val="FootnoteReference"/>
        </w:rPr>
        <w:footnoteRef/>
      </w:r>
      <w:r>
        <w:t xml:space="preserve"> </w:t>
      </w:r>
      <w:r>
        <w:tab/>
        <w:t xml:space="preserve">See </w:t>
      </w:r>
      <w:hyperlink r:id="rId18" w:history="1">
        <w:r>
          <w:rPr>
            <w:rStyle w:val="Hyperlink"/>
          </w:rPr>
          <w:t>https://mnre.gov.in/biofuels</w:t>
        </w:r>
      </w:hyperlink>
      <w:r>
        <w:t>.</w:t>
      </w:r>
    </w:p>
  </w:footnote>
  <w:footnote w:id="48">
    <w:p w:rsidR="006E1BDE" w:rsidRDefault="00244DD3">
      <w:pPr>
        <w:pStyle w:val="FootnoteText"/>
        <w:jc w:val="left"/>
      </w:pPr>
      <w:r>
        <w:rPr>
          <w:rStyle w:val="FootnoteReference"/>
        </w:rPr>
        <w:footnoteRef/>
      </w:r>
      <w:r>
        <w:t xml:space="preserve"> </w:t>
      </w:r>
      <w:r>
        <w:tab/>
        <w:t>The blending levels for bio-diesel were intende</w:t>
      </w:r>
      <w:r>
        <w:t>d to be recommendatory whereas the blending level for bio-ethonal had already been made mandatory up to 5%.</w:t>
      </w:r>
    </w:p>
  </w:footnote>
  <w:footnote w:id="49">
    <w:p w:rsidR="006E1BDE" w:rsidRDefault="00244DD3">
      <w:pPr>
        <w:pStyle w:val="FootnoteText"/>
        <w:jc w:val="left"/>
      </w:pPr>
      <w:r>
        <w:rPr>
          <w:rStyle w:val="FootnoteReference"/>
        </w:rPr>
        <w:footnoteRef/>
      </w:r>
      <w:r>
        <w:tab/>
        <w:t xml:space="preserve">National Biofuel Policy, 2009 available at </w:t>
      </w:r>
      <w:hyperlink r:id="rId19" w:history="1">
        <w:r>
          <w:rPr>
            <w:rStyle w:val="Hyperlink"/>
          </w:rPr>
          <w:t>https://mnre.gov.i</w:t>
        </w:r>
        <w:r>
          <w:rPr>
            <w:rStyle w:val="Hyperlink"/>
          </w:rPr>
          <w:t>n/sites/default/files/uploads/biofuel_policy_0.pdf</w:t>
        </w:r>
      </w:hyperlink>
      <w:r>
        <w:t>.</w:t>
      </w:r>
    </w:p>
  </w:footnote>
  <w:footnote w:id="50">
    <w:p w:rsidR="006E1BDE" w:rsidRDefault="00244DD3">
      <w:pPr>
        <w:pStyle w:val="FootnoteText"/>
        <w:jc w:val="left"/>
      </w:pPr>
      <w:r>
        <w:rPr>
          <w:rStyle w:val="FootnoteReference"/>
        </w:rPr>
        <w:footnoteRef/>
      </w:r>
      <w:r>
        <w:t xml:space="preserve"> </w:t>
      </w:r>
      <w:r>
        <w:tab/>
        <w:t>The NBCC would be headed by the Prime Minister and the members would include all the Ministers of the concerned Ministries.</w:t>
      </w:r>
    </w:p>
  </w:footnote>
  <w:footnote w:id="51">
    <w:p w:rsidR="006E1BDE" w:rsidRDefault="00244DD3">
      <w:pPr>
        <w:pStyle w:val="FootnoteText"/>
        <w:jc w:val="left"/>
      </w:pPr>
      <w:r>
        <w:rPr>
          <w:rStyle w:val="FootnoteReference"/>
        </w:rPr>
        <w:footnoteRef/>
      </w:r>
      <w:r>
        <w:t xml:space="preserve"> </w:t>
      </w:r>
      <w:r>
        <w:tab/>
        <w:t>The Biofuel Steering Committee would be headed by the Cabinet Secretary an</w:t>
      </w:r>
      <w:r>
        <w:t>d would include Secretaries of concerned Departments.</w:t>
      </w:r>
    </w:p>
  </w:footnote>
  <w:footnote w:id="52">
    <w:p w:rsidR="006E1BDE" w:rsidRDefault="00244DD3">
      <w:pPr>
        <w:pStyle w:val="FootnoteText"/>
        <w:jc w:val="left"/>
      </w:pPr>
      <w:r>
        <w:rPr>
          <w:rStyle w:val="FootnoteReference"/>
        </w:rPr>
        <w:footnoteRef/>
      </w:r>
      <w:r>
        <w:t xml:space="preserve"> </w:t>
      </w:r>
      <w:r>
        <w:tab/>
        <w:t>National Biofuel Policy, 2009, page 5.</w:t>
      </w:r>
    </w:p>
  </w:footnote>
  <w:footnote w:id="53">
    <w:p w:rsidR="006E1BDE" w:rsidRDefault="00244DD3">
      <w:pPr>
        <w:pStyle w:val="FootnoteText"/>
        <w:jc w:val="left"/>
      </w:pPr>
      <w:r>
        <w:rPr>
          <w:rStyle w:val="FootnoteReference"/>
        </w:rPr>
        <w:footnoteRef/>
      </w:r>
      <w:r>
        <w:t xml:space="preserve"> </w:t>
      </w:r>
      <w:r>
        <w:tab/>
      </w:r>
      <w:r>
        <w:rPr>
          <w:lang w:val="en-US"/>
        </w:rPr>
        <w:t xml:space="preserve">Cabinet Secretariat Notification, 4th August 2017, available at </w:t>
      </w:r>
      <w:hyperlink r:id="rId20" w:history="1">
        <w:r>
          <w:rPr>
            <w:rStyle w:val="Hyperlink"/>
            <w:lang w:val="en-US"/>
          </w:rPr>
          <w:t>https://mnre.gov.in/sites/default/files/uploads/discontinuing-biofuels-programme-in-the-MNRE.pdf</w:t>
        </w:r>
      </w:hyperlink>
      <w:r>
        <w:rPr>
          <w:lang w:val="en-US"/>
        </w:rPr>
        <w:t xml:space="preserve">. </w:t>
      </w:r>
    </w:p>
  </w:footnote>
  <w:footnote w:id="54">
    <w:p w:rsidR="006E1BDE" w:rsidRDefault="00244DD3">
      <w:pPr>
        <w:pStyle w:val="FootnoteText"/>
        <w:jc w:val="left"/>
      </w:pPr>
      <w:r>
        <w:rPr>
          <w:rStyle w:val="FootnoteReference"/>
        </w:rPr>
        <w:footnoteRef/>
      </w:r>
      <w:r>
        <w:t xml:space="preserve"> </w:t>
      </w:r>
      <w:r>
        <w:tab/>
        <w:t xml:space="preserve">The Draft National Renewable Energy Act, 2015, available at </w:t>
      </w:r>
      <w:hyperlink r:id="rId21" w:history="1">
        <w:r>
          <w:rPr>
            <w:rStyle w:val="Hyperlink"/>
          </w:rPr>
          <w:t>https://mnre.gov.in/file-manager/UserFiles/draft-rea-2015.pdf</w:t>
        </w:r>
      </w:hyperlink>
      <w:r>
        <w:t>.</w:t>
      </w:r>
    </w:p>
  </w:footnote>
  <w:footnote w:id="55">
    <w:p w:rsidR="006E1BDE" w:rsidRDefault="00244DD3">
      <w:pPr>
        <w:pStyle w:val="FootnoteText"/>
        <w:jc w:val="left"/>
      </w:pPr>
      <w:r>
        <w:rPr>
          <w:rStyle w:val="FootnoteReference"/>
        </w:rPr>
        <w:footnoteRef/>
      </w:r>
      <w:r>
        <w:t xml:space="preserve"> </w:t>
      </w:r>
      <w:r>
        <w:tab/>
        <w:t xml:space="preserve">The Draft National Renewable Energy Act, 2015, page 17, available at </w:t>
      </w:r>
      <w:hyperlink r:id="rId22" w:history="1">
        <w:r>
          <w:rPr>
            <w:rStyle w:val="Hyperlink"/>
          </w:rPr>
          <w:t>https://mnre.gov.in/file-manager/UserFi</w:t>
        </w:r>
        <w:r>
          <w:rPr>
            <w:rStyle w:val="Hyperlink"/>
          </w:rPr>
          <w:t>les/draft-rea-2015.pdf</w:t>
        </w:r>
      </w:hyperlink>
      <w:r>
        <w:t>.</w:t>
      </w:r>
    </w:p>
  </w:footnote>
  <w:footnote w:id="56">
    <w:p w:rsidR="006E1BDE" w:rsidRDefault="00244DD3">
      <w:pPr>
        <w:pStyle w:val="FootnoteText"/>
      </w:pPr>
      <w:r>
        <w:rPr>
          <w:rStyle w:val="FootnoteReference"/>
        </w:rPr>
        <w:footnoteRef/>
      </w:r>
      <w:r>
        <w:t xml:space="preserve"> </w:t>
      </w:r>
      <w:r>
        <w:tab/>
      </w:r>
      <w:hyperlink r:id="rId23" w:history="1">
        <w:r>
          <w:rPr>
            <w:rStyle w:val="Hyperlink"/>
          </w:rPr>
          <w:t>http://pib.nic.in/newsite/PrintRelease.aspx?relid=179313</w:t>
        </w:r>
      </w:hyperlink>
      <w:r>
        <w:t xml:space="preserve"> </w:t>
      </w:r>
    </w:p>
  </w:footnote>
  <w:footnote w:id="57">
    <w:p w:rsidR="006E1BDE" w:rsidRDefault="00244DD3">
      <w:pPr>
        <w:pStyle w:val="FootnoteText"/>
        <w:ind w:left="0" w:firstLine="0"/>
        <w:rPr>
          <w:lang w:val="nl-NL"/>
        </w:rPr>
      </w:pPr>
      <w:r>
        <w:rPr>
          <w:rStyle w:val="FootnoteReference"/>
        </w:rPr>
        <w:footnoteRef/>
      </w:r>
      <w:r>
        <w:t xml:space="preserve"> </w:t>
      </w:r>
      <w:r>
        <w:rPr>
          <w:lang w:val="nl-NL"/>
        </w:rPr>
        <w:t>See section 4.2.4 above.</w:t>
      </w:r>
    </w:p>
  </w:footnote>
  <w:footnote w:id="58">
    <w:p w:rsidR="006E1BDE" w:rsidRDefault="00244DD3">
      <w:pPr>
        <w:pStyle w:val="FootnoteText"/>
        <w:jc w:val="left"/>
      </w:pPr>
      <w:r>
        <w:rPr>
          <w:rStyle w:val="FootnoteReference"/>
        </w:rPr>
        <w:footnoteRef/>
      </w:r>
      <w:r>
        <w:t xml:space="preserve"> </w:t>
      </w:r>
      <w:r>
        <w:tab/>
        <w:t xml:space="preserve">See </w:t>
      </w:r>
      <w:hyperlink r:id="rId24" w:history="1">
        <w:r>
          <w:rPr>
            <w:rStyle w:val="Hyperlink"/>
          </w:rPr>
          <w:t>https://ec.europa.eu/energy/sites/ener/files/documents/20120210_joint_declaration_eu_india.pdf</w:t>
        </w:r>
      </w:hyperlink>
      <w:r>
        <w:t xml:space="preserve">. </w:t>
      </w:r>
    </w:p>
  </w:footnote>
  <w:footnote w:id="59">
    <w:p w:rsidR="006E1BDE" w:rsidRDefault="00244DD3">
      <w:pPr>
        <w:pStyle w:val="FootnoteText"/>
        <w:jc w:val="left"/>
      </w:pPr>
      <w:r>
        <w:rPr>
          <w:rStyle w:val="FootnoteReference"/>
        </w:rPr>
        <w:footnoteRef/>
      </w:r>
      <w:r>
        <w:t xml:space="preserve"> </w:t>
      </w:r>
      <w:r>
        <w:tab/>
        <w:t xml:space="preserve">See </w:t>
      </w:r>
      <w:hyperlink r:id="rId25" w:anchor="view=fit&amp;pagemode=none" w:history="1">
        <w:r>
          <w:rPr>
            <w:rStyle w:val="Hyperlink"/>
          </w:rPr>
          <w:t>http://ec.europa.eu/research/iscp/pdf/policy/india_agreement.pdf#view=fit&amp;pagemode=none</w:t>
        </w:r>
      </w:hyperlink>
      <w:r>
        <w:t xml:space="preserve">. </w:t>
      </w:r>
    </w:p>
  </w:footnote>
  <w:footnote w:id="60">
    <w:p w:rsidR="006E1BDE" w:rsidRDefault="00244DD3">
      <w:pPr>
        <w:pStyle w:val="FootnoteText"/>
        <w:jc w:val="left"/>
      </w:pPr>
      <w:r>
        <w:rPr>
          <w:rStyle w:val="FootnoteReference"/>
        </w:rPr>
        <w:footnoteRef/>
      </w:r>
      <w:r>
        <w:t xml:space="preserve"> </w:t>
      </w:r>
      <w:r>
        <w:tab/>
        <w:t xml:space="preserve">See </w:t>
      </w:r>
      <w:hyperlink r:id="rId26" w:history="1">
        <w:r>
          <w:rPr>
            <w:rStyle w:val="Hyperlink"/>
          </w:rPr>
          <w:t>https://eeas.e</w:t>
        </w:r>
        <w:r>
          <w:rPr>
            <w:rStyle w:val="Hyperlink"/>
          </w:rPr>
          <w:t>uropa.eu/sites/eeas/files/eu_india_factsheet.pdf</w:t>
        </w:r>
      </w:hyperlink>
      <w:r>
        <w:t xml:space="preserve">. </w:t>
      </w:r>
    </w:p>
  </w:footnote>
  <w:footnote w:id="61">
    <w:p w:rsidR="006E1BDE" w:rsidRDefault="00244DD3">
      <w:pPr>
        <w:pStyle w:val="FootnoteText"/>
        <w:jc w:val="left"/>
      </w:pPr>
      <w:r>
        <w:rPr>
          <w:rStyle w:val="FootnoteReference"/>
        </w:rPr>
        <w:footnoteRef/>
      </w:r>
      <w:r>
        <w:t xml:space="preserve"> </w:t>
      </w:r>
      <w:r>
        <w:tab/>
        <w:t xml:space="preserve">See </w:t>
      </w:r>
      <w:hyperlink r:id="rId27" w:history="1">
        <w:r>
          <w:rPr>
            <w:rStyle w:val="Hyperlink"/>
          </w:rPr>
          <w:t>https://www.consilium.europa.eu/media/23517/eu-india-joint-declaration-climate-and-energ</w:t>
        </w:r>
        <w:r>
          <w:rPr>
            <w:rStyle w:val="Hyperlink"/>
          </w:rPr>
          <w:t>y.pdf</w:t>
        </w:r>
      </w:hyperlink>
      <w:r>
        <w:t xml:space="preserve">. </w:t>
      </w:r>
    </w:p>
  </w:footnote>
  <w:footnote w:id="62">
    <w:p w:rsidR="006E1BDE" w:rsidRDefault="00244DD3">
      <w:pPr>
        <w:pStyle w:val="FootnoteText"/>
        <w:jc w:val="left"/>
      </w:pPr>
      <w:r>
        <w:rPr>
          <w:rStyle w:val="FootnoteReference"/>
        </w:rPr>
        <w:footnoteRef/>
      </w:r>
      <w:r>
        <w:t xml:space="preserve"> </w:t>
      </w:r>
      <w:r>
        <w:tab/>
        <w:t xml:space="preserve">See </w:t>
      </w:r>
      <w:hyperlink r:id="rId28" w:anchor="view=fit&amp;pagemode=none" w:history="1">
        <w:r>
          <w:rPr>
            <w:rStyle w:val="Hyperlink"/>
          </w:rPr>
          <w:t>http://ec.europa.eu/research/iscp/pdf/policy/india_agreement.pdf#view=fit&amp;pagemode=none</w:t>
        </w:r>
      </w:hyperlink>
      <w:r>
        <w:t xml:space="preserve">. </w:t>
      </w:r>
    </w:p>
  </w:footnote>
  <w:footnote w:id="63">
    <w:p w:rsidR="006E1BDE" w:rsidRDefault="00244DD3">
      <w:pPr>
        <w:pStyle w:val="FootnoteText"/>
        <w:jc w:val="left"/>
      </w:pPr>
      <w:r>
        <w:rPr>
          <w:rStyle w:val="FootnoteReference"/>
        </w:rPr>
        <w:footnoteRef/>
      </w:r>
      <w:r>
        <w:tab/>
        <w:t xml:space="preserve">See </w:t>
      </w:r>
      <w:hyperlink r:id="rId29" w:anchor="view=fit&amp;pagemode=none" w:history="1">
        <w:r>
          <w:rPr>
            <w:rStyle w:val="Hyperlink"/>
          </w:rPr>
          <w:t>http://ec.europa.eu/research/iscp/pdf/policy/india-review-brochure.pdf#view=fit&amp;pagemode=none</w:t>
        </w:r>
      </w:hyperlink>
      <w:r>
        <w:t xml:space="preserve">. </w:t>
      </w:r>
    </w:p>
  </w:footnote>
  <w:footnote w:id="64">
    <w:p w:rsidR="006E1BDE" w:rsidRDefault="00244DD3">
      <w:pPr>
        <w:pStyle w:val="FootnoteText"/>
        <w:jc w:val="left"/>
      </w:pPr>
      <w:r>
        <w:rPr>
          <w:rStyle w:val="FootnoteReference"/>
        </w:rPr>
        <w:footnoteRef/>
      </w:r>
      <w:r>
        <w:t xml:space="preserve"> </w:t>
      </w:r>
      <w:r>
        <w:tab/>
        <w:t xml:space="preserve">See </w:t>
      </w:r>
      <w:hyperlink r:id="rId30" w:anchor="view=fit&amp;pagemode=none" w:history="1">
        <w:r>
          <w:rPr>
            <w:rStyle w:val="Hyperlink"/>
            <w:lang w:val="en-US"/>
          </w:rPr>
          <w:t>http://ec.europa.eu/research/iscp/pdf/policy/india_agreement.pdf#view=fit&amp;pagemode=none</w:t>
        </w:r>
      </w:hyperlink>
      <w:r>
        <w:rPr>
          <w:lang w:val="en-US"/>
        </w:rPr>
        <w:t>.</w:t>
      </w:r>
    </w:p>
  </w:footnote>
  <w:footnote w:id="65">
    <w:p w:rsidR="006E1BDE" w:rsidRDefault="00244DD3">
      <w:pPr>
        <w:pStyle w:val="FootnoteText"/>
        <w:jc w:val="left"/>
      </w:pPr>
      <w:r>
        <w:rPr>
          <w:rStyle w:val="FootnoteReference"/>
        </w:rPr>
        <w:footnoteRef/>
      </w:r>
      <w:r>
        <w:t xml:space="preserve"> </w:t>
      </w:r>
      <w:r>
        <w:tab/>
        <w:t xml:space="preserve">See </w:t>
      </w:r>
      <w:hyperlink r:id="rId31" w:anchor="view=fit&amp;pagemode=none" w:history="1">
        <w:r>
          <w:rPr>
            <w:rStyle w:val="Hyperlink"/>
          </w:rPr>
          <w:t>http://ec.europa</w:t>
        </w:r>
        <w:r>
          <w:rPr>
            <w:rStyle w:val="Hyperlink"/>
          </w:rPr>
          <w:t>.eu/research/iscp/pdf/policy/in_roadmap_2017.pdf#view=fit&amp;pagemode=none</w:t>
        </w:r>
      </w:hyperlink>
      <w:r>
        <w:t xml:space="preserve">. </w:t>
      </w:r>
    </w:p>
  </w:footnote>
  <w:footnote w:id="66">
    <w:p w:rsidR="006E1BDE" w:rsidRDefault="00244DD3">
      <w:pPr>
        <w:pStyle w:val="FootnoteText"/>
        <w:jc w:val="left"/>
      </w:pPr>
      <w:r>
        <w:rPr>
          <w:rStyle w:val="FootnoteReference"/>
        </w:rPr>
        <w:footnoteRef/>
      </w:r>
      <w:r>
        <w:t xml:space="preserve"> </w:t>
      </w:r>
      <w:r>
        <w:tab/>
        <w:t xml:space="preserve">See </w:t>
      </w:r>
      <w:hyperlink r:id="rId32" w:history="1">
        <w:r>
          <w:rPr>
            <w:rStyle w:val="Hyperlink"/>
          </w:rPr>
          <w:t>http://imprint-india.org/</w:t>
        </w:r>
      </w:hyperlink>
      <w:r>
        <w:t xml:space="preserve">. </w:t>
      </w:r>
    </w:p>
  </w:footnote>
  <w:footnote w:id="67">
    <w:p w:rsidR="006E1BDE" w:rsidRDefault="00244DD3">
      <w:pPr>
        <w:pStyle w:val="FootnoteText"/>
        <w:jc w:val="left"/>
      </w:pPr>
      <w:r>
        <w:rPr>
          <w:rStyle w:val="FootnoteReference"/>
        </w:rPr>
        <w:footnoteRef/>
      </w:r>
      <w:r>
        <w:t xml:space="preserve"> </w:t>
      </w:r>
      <w:r>
        <w:tab/>
        <w:t xml:space="preserve">See </w:t>
      </w:r>
      <w:hyperlink r:id="rId33" w:history="1">
        <w:r>
          <w:rPr>
            <w:rStyle w:val="Hyperlink"/>
          </w:rPr>
          <w:t>http://www.euindiacoop.org/</w:t>
        </w:r>
      </w:hyperlink>
      <w:r>
        <w:t xml:space="preserve">. </w:t>
      </w:r>
    </w:p>
  </w:footnote>
  <w:footnote w:id="68">
    <w:p w:rsidR="006E1BDE" w:rsidRDefault="00244DD3">
      <w:pPr>
        <w:pStyle w:val="FootnoteText"/>
      </w:pPr>
      <w:r>
        <w:rPr>
          <w:rStyle w:val="FootnoteReference"/>
        </w:rPr>
        <w:footnoteRef/>
      </w:r>
      <w:r>
        <w:t xml:space="preserve"> </w:t>
      </w:r>
      <w:r>
        <w:rPr>
          <w:lang w:val="en-US"/>
        </w:rPr>
        <w:tab/>
        <w:t>This is in large part</w:t>
      </w:r>
      <w:r>
        <w:rPr>
          <w:lang w:val="en-US"/>
        </w:rPr>
        <w:t xml:space="preserve"> because of the impact of the trade defence measures on biodiesel from Argentina and Indonesia. Following recent findings of violation with WTO and EU law and the implementation of those findings, in particular with respect to the violations of EU law, the</w:t>
      </w:r>
      <w:r>
        <w:rPr>
          <w:lang w:val="en-US"/>
        </w:rPr>
        <w:t>se measures are currently not in force. Consequently, there has been a recent surge in imports of biodiesel from Argentina and Indonesia. However, these measures are likely to be reimposed in the near future.</w:t>
      </w:r>
    </w:p>
  </w:footnote>
  <w:footnote w:id="69">
    <w:p w:rsidR="006E1BDE" w:rsidRDefault="00244DD3">
      <w:pPr>
        <w:pStyle w:val="FootnoteText"/>
        <w:jc w:val="left"/>
      </w:pPr>
      <w:r>
        <w:rPr>
          <w:rStyle w:val="FootnoteReference"/>
        </w:rPr>
        <w:footnoteRef/>
      </w:r>
      <w:r>
        <w:t xml:space="preserve"> </w:t>
      </w:r>
      <w:r>
        <w:tab/>
        <w:t>S</w:t>
      </w:r>
      <w:r>
        <w:rPr>
          <w:lang w:val="en-US"/>
        </w:rPr>
        <w:t>ee page 9 in: Ingvar Landälv &amp; Lars Waldhei</w:t>
      </w:r>
      <w:r>
        <w:rPr>
          <w:lang w:val="en-US"/>
        </w:rPr>
        <w:t>m, “Cost of Biofuels”, Sub Group on Advanced Biofuels, edited: Kyriakos Maniatis, Eric van den Heuvel &amp; Stamatis Kalligeros, February 2017.</w:t>
      </w:r>
    </w:p>
  </w:footnote>
  <w:footnote w:id="70">
    <w:p w:rsidR="006E1BDE" w:rsidRDefault="00244DD3">
      <w:pPr>
        <w:pStyle w:val="FootnoteText"/>
        <w:jc w:val="left"/>
      </w:pPr>
      <w:r>
        <w:rPr>
          <w:rStyle w:val="FootnoteReference"/>
        </w:rPr>
        <w:footnoteRef/>
      </w:r>
      <w:r>
        <w:t xml:space="preserve"> </w:t>
      </w:r>
      <w:r>
        <w:tab/>
      </w:r>
      <w:r>
        <w:rPr>
          <w:lang w:val="en-US"/>
        </w:rPr>
        <w:t xml:space="preserve">See page 8 in: Ingvar Landälv &amp; Lars Waldheim, “Cost of Biofuels”, Sub Group on Advanced Biofuels, edited: </w:t>
      </w:r>
      <w:r>
        <w:rPr>
          <w:lang w:val="en-US"/>
        </w:rPr>
        <w:t>Kyriakos Maniatis, Eric van den Heuvel &amp; Stamatis Kalligeros, February 2017.</w:t>
      </w:r>
    </w:p>
  </w:footnote>
  <w:footnote w:id="71">
    <w:p w:rsidR="006E1BDE" w:rsidRDefault="00244DD3">
      <w:pPr>
        <w:pStyle w:val="FootnoteText"/>
        <w:jc w:val="left"/>
      </w:pPr>
      <w:r>
        <w:rPr>
          <w:rStyle w:val="FootnoteReference"/>
        </w:rPr>
        <w:footnoteRef/>
      </w:r>
      <w:r>
        <w:t xml:space="preserve"> </w:t>
      </w:r>
      <w:r>
        <w:tab/>
        <w:t xml:space="preserve">X: </w:t>
      </w:r>
      <w:r>
        <w:rPr>
          <w:rFonts w:ascii="Calibri" w:eastAsia="Calibri" w:hAnsi="Calibri"/>
        </w:rPr>
        <w:t>Base: Net tipping fee of 55 EUR/ton, energy content of 4.4 MWh/ton, Conversion efficiency of 50%.</w:t>
      </w:r>
    </w:p>
  </w:footnote>
  <w:footnote w:id="72">
    <w:p w:rsidR="006E1BDE" w:rsidRDefault="00244DD3">
      <w:pPr>
        <w:pStyle w:val="FootnoteText"/>
      </w:pPr>
      <w:r>
        <w:rPr>
          <w:rStyle w:val="FootnoteReference"/>
        </w:rPr>
        <w:footnoteRef/>
      </w:r>
      <w:r>
        <w:t xml:space="preserve"> </w:t>
      </w:r>
      <w:r>
        <w:tab/>
        <w:t xml:space="preserve">See </w:t>
      </w:r>
      <w:hyperlink r:id="rId34" w:history="1">
        <w:r>
          <w:rPr>
            <w:rStyle w:val="Hyperlink"/>
          </w:rPr>
          <w:t>https://www.neste.com/</w:t>
        </w:r>
      </w:hyperlink>
    </w:p>
  </w:footnote>
  <w:footnote w:id="73">
    <w:p w:rsidR="006E1BDE" w:rsidRDefault="00244DD3">
      <w:pPr>
        <w:pStyle w:val="FootnoteText"/>
        <w:numPr>
          <w:ilvl w:val="0"/>
          <w:numId w:val="0"/>
        </w:numPr>
        <w:ind w:left="567" w:hanging="567"/>
        <w:jc w:val="left"/>
      </w:pPr>
      <w:r>
        <w:rPr>
          <w:rStyle w:val="FootnoteReference"/>
        </w:rPr>
        <w:footnoteRef/>
      </w:r>
      <w:r>
        <w:t xml:space="preserve">     </w:t>
      </w:r>
      <w:r>
        <w:t xml:space="preserve">     See </w:t>
      </w:r>
      <w:hyperlink r:id="rId35" w:history="1">
        <w:r>
          <w:rPr>
            <w:rStyle w:val="Hyperlink"/>
          </w:rPr>
          <w:t>https://www.iocl.com/</w:t>
        </w:r>
      </w:hyperlink>
      <w:r>
        <w:t xml:space="preserve">. </w:t>
      </w:r>
    </w:p>
  </w:footnote>
  <w:footnote w:id="74">
    <w:p w:rsidR="006E1BDE" w:rsidRDefault="00244DD3">
      <w:pPr>
        <w:pStyle w:val="FootnoteText"/>
      </w:pPr>
      <w:r>
        <w:rPr>
          <w:rStyle w:val="FootnoteReference"/>
        </w:rPr>
        <w:footnoteRef/>
      </w:r>
      <w:r>
        <w:t xml:space="preserve"> </w:t>
      </w:r>
      <w:r>
        <w:rPr>
          <w:lang w:val="en-US"/>
        </w:rPr>
        <w:tab/>
        <w:t>See http://www.fcc.es/en/water-presentation</w:t>
      </w:r>
    </w:p>
  </w:footnote>
  <w:footnote w:id="75">
    <w:p w:rsidR="006E1BDE" w:rsidRDefault="00244DD3">
      <w:pPr>
        <w:pStyle w:val="FootnoteText"/>
        <w:jc w:val="left"/>
      </w:pPr>
      <w:r>
        <w:rPr>
          <w:rStyle w:val="FootnoteReference"/>
        </w:rPr>
        <w:footnoteRef/>
      </w:r>
      <w:r>
        <w:t xml:space="preserve"> </w:t>
      </w:r>
      <w:r>
        <w:tab/>
        <w:t xml:space="preserve">See </w:t>
      </w:r>
      <w:hyperlink r:id="rId36" w:history="1">
        <w:r>
          <w:rPr>
            <w:rStyle w:val="Hyperlink"/>
          </w:rPr>
          <w:t>http://www.phycospectrum.in/industrial-projects</w:t>
        </w:r>
      </w:hyperlink>
      <w:r>
        <w:t xml:space="preserve">. </w:t>
      </w:r>
    </w:p>
  </w:footnote>
  <w:footnote w:id="76">
    <w:p w:rsidR="006E1BDE" w:rsidRDefault="00244DD3">
      <w:pPr>
        <w:pStyle w:val="FootnoteText"/>
        <w:jc w:val="left"/>
      </w:pPr>
      <w:r>
        <w:rPr>
          <w:rStyle w:val="FootnoteReference"/>
        </w:rPr>
        <w:footnoteRef/>
      </w:r>
      <w:r>
        <w:t xml:space="preserve"> </w:t>
      </w:r>
      <w:r>
        <w:tab/>
        <w:t xml:space="preserve">See </w:t>
      </w:r>
      <w:hyperlink r:id="rId37" w:history="1">
        <w:r>
          <w:rPr>
            <w:rStyle w:val="Hyperlink"/>
          </w:rPr>
          <w:t>http://ec.europa.eu/research/participants/data/ref/h2020/grants_manual/hi/3cpart/h2020-hi-list-ac_en.pdf</w:t>
        </w:r>
      </w:hyperlink>
      <w:r>
        <w:t xml:space="preserve">. </w:t>
      </w:r>
    </w:p>
  </w:footnote>
  <w:footnote w:id="77">
    <w:p w:rsidR="006E1BDE" w:rsidRDefault="00244DD3">
      <w:pPr>
        <w:pStyle w:val="FootnoteText"/>
        <w:jc w:val="left"/>
      </w:pPr>
      <w:r>
        <w:rPr>
          <w:rStyle w:val="FootnoteReference"/>
        </w:rPr>
        <w:footnoteRef/>
      </w:r>
      <w:r>
        <w:t xml:space="preserve"> </w:t>
      </w:r>
      <w:r>
        <w:tab/>
        <w:t>Decision No 1982/2006/EC of the Eur</w:t>
      </w:r>
      <w:r>
        <w:t>opean Parliament and of the Council of 18 December 2006</w:t>
      </w:r>
    </w:p>
  </w:footnote>
  <w:footnote w:id="78">
    <w:p w:rsidR="006E1BDE" w:rsidRDefault="00244DD3">
      <w:pPr>
        <w:pStyle w:val="FootnoteText"/>
        <w:jc w:val="left"/>
      </w:pPr>
      <w:r>
        <w:rPr>
          <w:rStyle w:val="FootnoteReference"/>
        </w:rPr>
        <w:footnoteRef/>
      </w:r>
      <w:r>
        <w:t xml:space="preserve"> </w:t>
      </w:r>
      <w:r>
        <w:tab/>
        <w:t xml:space="preserve">Brussels, 19.1.2016, COM(2016) 5 final. See </w:t>
      </w:r>
      <w:hyperlink r:id="rId38" w:anchor="view=fit&amp;pagemode=none" w:history="1">
        <w:r>
          <w:rPr>
            <w:rStyle w:val="Hyperlink"/>
          </w:rPr>
          <w:t>https://ec.europa.eu/research/evaluations/pdf/archive/fp7-ex-post_evaluation/commission_communication_1_en_act_part1.pdf#view=fit&amp;pagemode=none</w:t>
        </w:r>
      </w:hyperlink>
      <w:r>
        <w:t xml:space="preserve">. </w:t>
      </w:r>
    </w:p>
  </w:footnote>
  <w:footnote w:id="79">
    <w:p w:rsidR="006E1BDE" w:rsidRDefault="00244DD3">
      <w:pPr>
        <w:pStyle w:val="FootnoteText"/>
        <w:jc w:val="left"/>
        <w:rPr>
          <w:rFonts w:ascii="Times New Roman" w:eastAsia="Times New Roman" w:hAnsi="Times New Roman"/>
          <w:bCs/>
          <w:color w:val="555555"/>
          <w:sz w:val="24"/>
          <w:szCs w:val="24"/>
          <w:lang w:eastAsia="nl-BE"/>
        </w:rPr>
      </w:pPr>
      <w:r>
        <w:rPr>
          <w:rStyle w:val="FootnoteReference"/>
        </w:rPr>
        <w:footnoteRef/>
      </w:r>
      <w:r>
        <w:t xml:space="preserve"> </w:t>
      </w:r>
      <w:r>
        <w:tab/>
        <w:t xml:space="preserve">See </w:t>
      </w:r>
      <w:hyperlink r:id="rId39" w:history="1">
        <w:r>
          <w:rPr>
            <w:rStyle w:val="Hyperlink"/>
          </w:rPr>
          <w:t>https://cordis.europa.eu/guida</w:t>
        </w:r>
        <w:r>
          <w:rPr>
            <w:rStyle w:val="Hyperlink"/>
          </w:rPr>
          <w:t>nce/archive_en</w:t>
        </w:r>
      </w:hyperlink>
      <w:r>
        <w:rPr>
          <w:rFonts w:eastAsia="Times New Roman"/>
          <w:b/>
          <w:bCs/>
          <w:color w:val="555555"/>
          <w:lang w:eastAsia="nl-BE"/>
        </w:rPr>
        <w:t xml:space="preserve">. </w:t>
      </w:r>
    </w:p>
  </w:footnote>
  <w:footnote w:id="80">
    <w:p w:rsidR="006E1BDE" w:rsidRDefault="00244DD3">
      <w:pPr>
        <w:pStyle w:val="FootnoteText"/>
        <w:jc w:val="left"/>
      </w:pPr>
      <w:r>
        <w:rPr>
          <w:rStyle w:val="FootnoteReference"/>
        </w:rPr>
        <w:footnoteRef/>
      </w:r>
      <w:r>
        <w:t xml:space="preserve"> </w:t>
      </w:r>
      <w:r>
        <w:tab/>
        <w:t xml:space="preserve">For a search on completed and ongoing projects see </w:t>
      </w:r>
      <w:hyperlink r:id="rId40" w:history="1">
        <w:r>
          <w:rPr>
            <w:rStyle w:val="Hyperlink"/>
          </w:rPr>
          <w:t>https://cordis.europa.eu/projects/result_en?q=%28contenttype%3D%27project%27%20OR%20/result/relations/categories/resultCategory/code%3D%27brief%27%2C%27report%27%29%20AND%20programme/pga%3D%27H2020-EU.3.3.%2A%27</w:t>
        </w:r>
      </w:hyperlink>
      <w:r>
        <w:t xml:space="preserve">. </w:t>
      </w:r>
    </w:p>
  </w:footnote>
  <w:footnote w:id="81">
    <w:p w:rsidR="006E1BDE" w:rsidRDefault="00244DD3">
      <w:pPr>
        <w:pStyle w:val="FootnoteText"/>
        <w:jc w:val="left"/>
      </w:pPr>
      <w:r>
        <w:rPr>
          <w:rStyle w:val="FootnoteReference"/>
        </w:rPr>
        <w:footnoteRef/>
      </w:r>
      <w:r>
        <w:t xml:space="preserve"> </w:t>
      </w:r>
      <w:r>
        <w:tab/>
        <w:t xml:space="preserve">See </w:t>
      </w:r>
      <w:hyperlink r:id="rId41" w:history="1">
        <w:r>
          <w:rPr>
            <w:rStyle w:val="Hyperlink"/>
          </w:rPr>
          <w:t>http://www.abengoabioenergy.com/web/en/2g_hugoton_project/</w:t>
        </w:r>
      </w:hyperlink>
      <w:r>
        <w:t xml:space="preserve">. </w:t>
      </w:r>
    </w:p>
  </w:footnote>
  <w:footnote w:id="82">
    <w:p w:rsidR="006E1BDE" w:rsidRDefault="00244DD3">
      <w:pPr>
        <w:pStyle w:val="FootnoteText"/>
        <w:jc w:val="left"/>
      </w:pPr>
      <w:r>
        <w:rPr>
          <w:rStyle w:val="FootnoteReference"/>
        </w:rPr>
        <w:footnoteRef/>
      </w:r>
      <w:r>
        <w:t xml:space="preserve"> </w:t>
      </w:r>
      <w:r>
        <w:tab/>
        <w:t xml:space="preserve">See </w:t>
      </w:r>
      <w:hyperlink r:id="rId42" w:history="1">
        <w:r>
          <w:rPr>
            <w:rStyle w:val="Hyperlink"/>
          </w:rPr>
          <w:t>http://www.abengoabioenergy.com/web/en/prensa/noticias/historico/2005/200510_noticias.html</w:t>
        </w:r>
      </w:hyperlink>
      <w:r>
        <w:t xml:space="preserve">. </w:t>
      </w:r>
    </w:p>
  </w:footnote>
  <w:footnote w:id="83">
    <w:p w:rsidR="006E1BDE" w:rsidRDefault="00244DD3">
      <w:pPr>
        <w:pStyle w:val="FootnoteText"/>
        <w:jc w:val="left"/>
      </w:pPr>
      <w:r>
        <w:rPr>
          <w:rStyle w:val="FootnoteReference"/>
        </w:rPr>
        <w:footnoteRef/>
      </w:r>
      <w:r>
        <w:t xml:space="preserve"> </w:t>
      </w:r>
      <w:r>
        <w:tab/>
        <w:t xml:space="preserve">See </w:t>
      </w:r>
      <w:hyperlink r:id="rId43" w:history="1">
        <w:r>
          <w:rPr>
            <w:rStyle w:val="Hyperlink"/>
          </w:rPr>
          <w:t>http://www.hpj.com/ag_news/hugoton-cellulosic-ethanol-plant-sold-out-of-bankruptcy/article_ae8fb952-c85f-11e6-87dc-0b12cf1982e3.html</w:t>
        </w:r>
      </w:hyperlink>
      <w:r>
        <w:t xml:space="preserve">. </w:t>
      </w:r>
    </w:p>
  </w:footnote>
  <w:footnote w:id="84">
    <w:p w:rsidR="006E1BDE" w:rsidRDefault="00244DD3">
      <w:pPr>
        <w:pStyle w:val="FootnoteText"/>
        <w:jc w:val="left"/>
      </w:pPr>
      <w:r>
        <w:rPr>
          <w:rStyle w:val="FootnoteReference"/>
        </w:rPr>
        <w:footnoteRef/>
      </w:r>
      <w:r>
        <w:t xml:space="preserve"> </w:t>
      </w:r>
      <w:r>
        <w:tab/>
        <w:t xml:space="preserve">See </w:t>
      </w:r>
      <w:hyperlink r:id="rId44" w:history="1">
        <w:r>
          <w:rPr>
            <w:rStyle w:val="Hyperlink"/>
          </w:rPr>
          <w:t>http://poet-dsm.com/liberty</w:t>
        </w:r>
      </w:hyperlink>
      <w:r>
        <w:t xml:space="preserve">. </w:t>
      </w:r>
    </w:p>
  </w:footnote>
  <w:footnote w:id="85">
    <w:p w:rsidR="006E1BDE" w:rsidRDefault="00244DD3">
      <w:pPr>
        <w:pStyle w:val="FootnoteText"/>
        <w:jc w:val="left"/>
      </w:pPr>
      <w:r>
        <w:rPr>
          <w:rStyle w:val="FootnoteReference"/>
        </w:rPr>
        <w:footnoteRef/>
      </w:r>
      <w:r>
        <w:tab/>
        <w:t xml:space="preserve">See </w:t>
      </w:r>
      <w:hyperlink r:id="rId45" w:history="1">
        <w:r>
          <w:rPr>
            <w:rStyle w:val="Hyperlink"/>
          </w:rPr>
          <w:t>https://poet.com/biofuel</w:t>
        </w:r>
      </w:hyperlink>
      <w:r>
        <w:t xml:space="preserve">. </w:t>
      </w:r>
    </w:p>
  </w:footnote>
  <w:footnote w:id="86">
    <w:p w:rsidR="006E1BDE" w:rsidRDefault="00244DD3">
      <w:pPr>
        <w:pStyle w:val="FootnoteText"/>
        <w:jc w:val="left"/>
      </w:pPr>
      <w:r>
        <w:rPr>
          <w:rStyle w:val="FootnoteReference"/>
        </w:rPr>
        <w:footnoteRef/>
      </w:r>
      <w:r>
        <w:t xml:space="preserve"> </w:t>
      </w:r>
      <w:r>
        <w:tab/>
        <w:t xml:space="preserve">See </w:t>
      </w:r>
      <w:hyperlink r:id="rId46" w:history="1">
        <w:r>
          <w:rPr>
            <w:rStyle w:val="Hyperlink"/>
          </w:rPr>
          <w:t>https://www.dsm.com/corporate/home.html</w:t>
        </w:r>
      </w:hyperlink>
      <w:r>
        <w:t xml:space="preserve">. </w:t>
      </w:r>
    </w:p>
  </w:footnote>
  <w:footnote w:id="87">
    <w:p w:rsidR="006E1BDE" w:rsidRDefault="00244DD3">
      <w:pPr>
        <w:pStyle w:val="FootnoteText"/>
        <w:jc w:val="left"/>
      </w:pPr>
      <w:r>
        <w:rPr>
          <w:rStyle w:val="FootnoteReference"/>
        </w:rPr>
        <w:footnoteRef/>
      </w:r>
      <w:r>
        <w:t xml:space="preserve"> </w:t>
      </w:r>
      <w:r>
        <w:tab/>
        <w:t xml:space="preserve">See </w:t>
      </w:r>
      <w:hyperlink r:id="rId47" w:history="1">
        <w:r>
          <w:rPr>
            <w:rStyle w:val="Hyperlink"/>
          </w:rPr>
          <w:t>http://www.dupont.com/</w:t>
        </w:r>
      </w:hyperlink>
      <w:r>
        <w:t xml:space="preserve">. </w:t>
      </w:r>
    </w:p>
  </w:footnote>
  <w:footnote w:id="88">
    <w:p w:rsidR="006E1BDE" w:rsidRDefault="00244DD3">
      <w:pPr>
        <w:pStyle w:val="FootnoteText"/>
        <w:jc w:val="left"/>
      </w:pPr>
      <w:r>
        <w:rPr>
          <w:rStyle w:val="FootnoteReference"/>
        </w:rPr>
        <w:footnoteRef/>
      </w:r>
      <w:r>
        <w:t xml:space="preserve"> </w:t>
      </w:r>
      <w:r>
        <w:tab/>
        <w:t xml:space="preserve">See </w:t>
      </w:r>
      <w:hyperlink r:id="rId48" w:history="1">
        <w:r>
          <w:rPr>
            <w:rStyle w:val="Hyperlink"/>
          </w:rPr>
          <w:t>http://biosciences.dupont.com/about-us/history/</w:t>
        </w:r>
      </w:hyperlink>
      <w:r>
        <w:t xml:space="preserve">. </w:t>
      </w:r>
    </w:p>
  </w:footnote>
  <w:footnote w:id="89">
    <w:p w:rsidR="006E1BDE" w:rsidRDefault="00244DD3">
      <w:pPr>
        <w:pStyle w:val="FootnoteText"/>
        <w:jc w:val="left"/>
      </w:pPr>
      <w:r>
        <w:rPr>
          <w:rStyle w:val="FootnoteReference"/>
        </w:rPr>
        <w:footnoteRef/>
      </w:r>
      <w:r>
        <w:t xml:space="preserve"> </w:t>
      </w:r>
      <w:r>
        <w:tab/>
        <w:t xml:space="preserve">See </w:t>
      </w:r>
      <w:hyperlink r:id="rId49" w:history="1">
        <w:r>
          <w:rPr>
            <w:rStyle w:val="Hyperlink"/>
          </w:rPr>
          <w:t>http://www.biofuelsdigest.com/bdigest/2017/11/02/breaking-news-dowdupont-to-exit-cellulosic-ethanol-business/</w:t>
        </w:r>
      </w:hyperlink>
      <w:r>
        <w:t xml:space="preserve">. </w:t>
      </w:r>
    </w:p>
  </w:footnote>
  <w:footnote w:id="90">
    <w:p w:rsidR="006E1BDE" w:rsidRDefault="00244DD3">
      <w:pPr>
        <w:pStyle w:val="FootnoteText"/>
        <w:jc w:val="left"/>
      </w:pPr>
      <w:r>
        <w:rPr>
          <w:rStyle w:val="FootnoteReference"/>
        </w:rPr>
        <w:footnoteRef/>
      </w:r>
      <w:r>
        <w:t xml:space="preserve"> </w:t>
      </w:r>
      <w:r>
        <w:tab/>
        <w:t xml:space="preserve">See </w:t>
      </w:r>
      <w:hyperlink r:id="rId50" w:history="1">
        <w:r>
          <w:rPr>
            <w:rStyle w:val="Hyperlink"/>
          </w:rPr>
          <w:t>https://cordis.europ</w:t>
        </w:r>
        <w:r>
          <w:rPr>
            <w:rStyle w:val="Hyperlink"/>
          </w:rPr>
          <w:t>a.eu/project/rcn/90314_en.html</w:t>
        </w:r>
      </w:hyperlink>
      <w:r>
        <w:t xml:space="preserve">. </w:t>
      </w:r>
    </w:p>
  </w:footnote>
  <w:footnote w:id="91">
    <w:p w:rsidR="006E1BDE" w:rsidRDefault="00244DD3">
      <w:pPr>
        <w:pStyle w:val="FootnoteText"/>
        <w:jc w:val="left"/>
      </w:pPr>
      <w:r>
        <w:rPr>
          <w:rStyle w:val="FootnoteReference"/>
        </w:rPr>
        <w:footnoteRef/>
      </w:r>
      <w:r>
        <w:t xml:space="preserve"> </w:t>
      </w:r>
      <w:r>
        <w:tab/>
        <w:t xml:space="preserve">See </w:t>
      </w:r>
      <w:hyperlink r:id="rId51" w:history="1">
        <w:r>
          <w:rPr>
            <w:rStyle w:val="Hyperlink"/>
          </w:rPr>
          <w:t>http://www.choren.com/en/company.html</w:t>
        </w:r>
      </w:hyperlink>
      <w:r>
        <w:t xml:space="preserve">. </w:t>
      </w:r>
    </w:p>
  </w:footnote>
  <w:footnote w:id="92">
    <w:p w:rsidR="006E1BDE" w:rsidRDefault="00244DD3">
      <w:pPr>
        <w:pStyle w:val="FootnoteText"/>
        <w:jc w:val="left"/>
      </w:pPr>
      <w:r>
        <w:rPr>
          <w:rStyle w:val="FootnoteReference"/>
        </w:rPr>
        <w:footnoteRef/>
      </w:r>
      <w:r>
        <w:t xml:space="preserve"> </w:t>
      </w:r>
      <w:r>
        <w:tab/>
        <w:t xml:space="preserve">See </w:t>
      </w:r>
      <w:hyperlink r:id="rId52" w:history="1">
        <w:r>
          <w:rPr>
            <w:rStyle w:val="Hyperlink"/>
          </w:rPr>
          <w:t>http://www.energytrendsinsid</w:t>
        </w:r>
        <w:r>
          <w:rPr>
            <w:rStyle w:val="Hyperlink"/>
          </w:rPr>
          <w:t>er.com/2011/07/08/what-happened-at-choren/</w:t>
        </w:r>
      </w:hyperlink>
      <w:r>
        <w:t xml:space="preserve">. </w:t>
      </w:r>
    </w:p>
  </w:footnote>
  <w:footnote w:id="93">
    <w:p w:rsidR="006E1BDE" w:rsidRDefault="00244DD3">
      <w:pPr>
        <w:pStyle w:val="FootnoteText"/>
        <w:jc w:val="left"/>
      </w:pPr>
      <w:r>
        <w:rPr>
          <w:rStyle w:val="FootnoteReference"/>
        </w:rPr>
        <w:footnoteRef/>
      </w:r>
      <w:r>
        <w:tab/>
        <w:t xml:space="preserve">See  </w:t>
      </w:r>
      <w:hyperlink r:id="rId53" w:history="1">
        <w:r>
          <w:rPr>
            <w:rStyle w:val="Hyperlink"/>
          </w:rPr>
          <w:t>https://indigoprojects.eu/object/news/139</w:t>
        </w:r>
      </w:hyperlink>
      <w:r>
        <w:t xml:space="preserve">. </w:t>
      </w:r>
    </w:p>
  </w:footnote>
  <w:footnote w:id="94">
    <w:p w:rsidR="006E1BDE" w:rsidRDefault="00244DD3">
      <w:pPr>
        <w:pStyle w:val="FootnoteText"/>
        <w:jc w:val="left"/>
      </w:pPr>
      <w:r>
        <w:rPr>
          <w:rStyle w:val="FootnoteReference"/>
        </w:rPr>
        <w:footnoteRef/>
      </w:r>
      <w:r>
        <w:t xml:space="preserve"> </w:t>
      </w:r>
      <w:r>
        <w:tab/>
        <w:t xml:space="preserve">See </w:t>
      </w:r>
      <w:hyperlink r:id="rId54" w:history="1">
        <w:r>
          <w:rPr>
            <w:rStyle w:val="Hyperlink"/>
          </w:rPr>
          <w:t>https://ec.europa.eu/programmes/horizon2020/</w:t>
        </w:r>
      </w:hyperlink>
      <w:r>
        <w:t xml:space="preserve">. </w:t>
      </w:r>
    </w:p>
  </w:footnote>
  <w:footnote w:id="95">
    <w:p w:rsidR="006E1BDE" w:rsidRDefault="00244DD3">
      <w:pPr>
        <w:pStyle w:val="FootnoteText"/>
        <w:jc w:val="left"/>
      </w:pPr>
      <w:r>
        <w:rPr>
          <w:rStyle w:val="FootnoteReference"/>
        </w:rPr>
        <w:footnoteRef/>
      </w:r>
      <w:r>
        <w:tab/>
        <w:t xml:space="preserve">See </w:t>
      </w:r>
      <w:hyperlink r:id="rId55" w:history="1">
        <w:r>
          <w:rPr>
            <w:rStyle w:val="Hyperlink"/>
          </w:rPr>
          <w:t>http://ec.europa.eu/research/participants/data/ref/h2020/wp/2014_2015/main/h2020-wp14</w:t>
        </w:r>
        <w:r>
          <w:rPr>
            <w:rStyle w:val="Hyperlink"/>
          </w:rPr>
          <w:t>15-energy_en.pdf</w:t>
        </w:r>
      </w:hyperlink>
      <w:r>
        <w:t xml:space="preserve">. </w:t>
      </w:r>
    </w:p>
  </w:footnote>
  <w:footnote w:id="96">
    <w:p w:rsidR="006E1BDE" w:rsidRDefault="00244DD3">
      <w:pPr>
        <w:pStyle w:val="FootnoteText"/>
        <w:jc w:val="left"/>
      </w:pPr>
      <w:r>
        <w:rPr>
          <w:rStyle w:val="FootnoteReference"/>
        </w:rPr>
        <w:footnoteRef/>
      </w:r>
      <w:r>
        <w:t xml:space="preserve"> </w:t>
      </w:r>
      <w:r>
        <w:tab/>
        <w:t xml:space="preserve">See </w:t>
      </w:r>
      <w:hyperlink r:id="rId56" w:history="1">
        <w:r>
          <w:rPr>
            <w:rStyle w:val="Hyperlink"/>
          </w:rPr>
          <w:t>http://ec.europa.eu/research/participants/data/ref/h2020/wp/2016_2017/main/h2020-wp1617-energy_en.pdf</w:t>
        </w:r>
      </w:hyperlink>
      <w:r>
        <w:t xml:space="preserve">. </w:t>
      </w:r>
    </w:p>
  </w:footnote>
  <w:footnote w:id="97">
    <w:p w:rsidR="006E1BDE" w:rsidRDefault="00244DD3">
      <w:pPr>
        <w:pStyle w:val="FootnoteText"/>
        <w:jc w:val="left"/>
      </w:pPr>
      <w:r>
        <w:rPr>
          <w:rStyle w:val="FootnoteReference"/>
        </w:rPr>
        <w:footnoteRef/>
      </w:r>
      <w:r>
        <w:tab/>
        <w:t xml:space="preserve">See </w:t>
      </w:r>
      <w:hyperlink r:id="rId57" w:history="1">
        <w:r>
          <w:rPr>
            <w:rStyle w:val="Hyperlink"/>
          </w:rPr>
          <w:t>http://ec.europa.eu/research/participants/data/ref/h2020/wp/2018-2020/main/h2020-wp1820-energy_en.pdf</w:t>
        </w:r>
      </w:hyperlink>
      <w:r>
        <w:t xml:space="preserve">. </w:t>
      </w:r>
    </w:p>
  </w:footnote>
  <w:footnote w:id="98">
    <w:p w:rsidR="006E1BDE" w:rsidRDefault="00244DD3">
      <w:pPr>
        <w:pStyle w:val="FootnoteText"/>
        <w:jc w:val="left"/>
      </w:pPr>
      <w:r>
        <w:rPr>
          <w:rStyle w:val="FootnoteReference"/>
        </w:rPr>
        <w:footnoteRef/>
      </w:r>
      <w:r>
        <w:t xml:space="preserve"> </w:t>
      </w:r>
      <w:r>
        <w:tab/>
        <w:t xml:space="preserve">See </w:t>
      </w:r>
      <w:hyperlink r:id="rId58" w:history="1">
        <w:r>
          <w:rPr>
            <w:rStyle w:val="Hyperlink"/>
          </w:rPr>
          <w:t>https://www.bbi-europe.eu/</w:t>
        </w:r>
      </w:hyperlink>
      <w:r>
        <w:t xml:space="preserve">. </w:t>
      </w:r>
    </w:p>
  </w:footnote>
  <w:footnote w:id="99">
    <w:p w:rsidR="006E1BDE" w:rsidRDefault="00244DD3">
      <w:pPr>
        <w:pStyle w:val="FootnoteText"/>
        <w:jc w:val="left"/>
      </w:pPr>
      <w:r>
        <w:rPr>
          <w:rStyle w:val="FootnoteReference"/>
        </w:rPr>
        <w:footnoteRef/>
      </w:r>
      <w:r>
        <w:t xml:space="preserve"> </w:t>
      </w:r>
      <w:r>
        <w:tab/>
        <w:t xml:space="preserve">See </w:t>
      </w:r>
      <w:hyperlink r:id="rId59" w:history="1">
        <w:r>
          <w:rPr>
            <w:rStyle w:val="Hyperlink"/>
          </w:rPr>
          <w:t>https://ec.europa.eu/info/funding-t</w:t>
        </w:r>
        <w:r>
          <w:rPr>
            <w:rStyle w:val="Hyperlink"/>
          </w:rPr>
          <w:t>enders/funding-opportunities/funding-programmes/overview-funding-programmes/european-structural-and-investment-funds_en</w:t>
        </w:r>
      </w:hyperlink>
      <w:r>
        <w:t xml:space="preserve">. </w:t>
      </w:r>
    </w:p>
  </w:footnote>
  <w:footnote w:id="100">
    <w:p w:rsidR="006E1BDE" w:rsidRDefault="00244DD3">
      <w:pPr>
        <w:pStyle w:val="FootnoteText"/>
        <w:jc w:val="left"/>
      </w:pPr>
      <w:r>
        <w:rPr>
          <w:rStyle w:val="FootnoteReference"/>
        </w:rPr>
        <w:footnoteRef/>
      </w:r>
      <w:r>
        <w:t xml:space="preserve"> </w:t>
      </w:r>
      <w:r>
        <w:tab/>
        <w:t xml:space="preserve">See </w:t>
      </w:r>
      <w:hyperlink r:id="rId60" w:history="1">
        <w:r>
          <w:rPr>
            <w:rStyle w:val="Hyperlink"/>
          </w:rPr>
          <w:t>https://www.bbi-europe.eu/sites/default/files/sira-</w:t>
        </w:r>
        <w:r>
          <w:rPr>
            <w:rStyle w:val="Hyperlink"/>
          </w:rPr>
          <w:t>2017.pdf</w:t>
        </w:r>
      </w:hyperlink>
      <w:r>
        <w:t xml:space="preserve">. </w:t>
      </w:r>
    </w:p>
  </w:footnote>
  <w:footnote w:id="101">
    <w:p w:rsidR="006E1BDE" w:rsidRDefault="00244DD3">
      <w:pPr>
        <w:pStyle w:val="FootnoteText"/>
        <w:jc w:val="left"/>
      </w:pPr>
      <w:r>
        <w:rPr>
          <w:rStyle w:val="FootnoteReference"/>
        </w:rPr>
        <w:footnoteRef/>
      </w:r>
      <w:r>
        <w:t xml:space="preserve"> </w:t>
      </w:r>
      <w:r>
        <w:tab/>
        <w:t xml:space="preserve">See </w:t>
      </w:r>
      <w:hyperlink r:id="rId61" w:history="1">
        <w:r>
          <w:rPr>
            <w:rStyle w:val="Hyperlink"/>
          </w:rPr>
          <w:t>https://www.bbi-europe.eu/projects</w:t>
        </w:r>
      </w:hyperlink>
      <w:r>
        <w:t xml:space="preserve">. </w:t>
      </w:r>
    </w:p>
  </w:footnote>
  <w:footnote w:id="102">
    <w:p w:rsidR="006E1BDE" w:rsidRDefault="00244DD3">
      <w:pPr>
        <w:pStyle w:val="FootnoteText"/>
        <w:jc w:val="left"/>
      </w:pPr>
      <w:r>
        <w:rPr>
          <w:rStyle w:val="FootnoteReference"/>
        </w:rPr>
        <w:footnoteRef/>
      </w:r>
      <w:r>
        <w:t xml:space="preserve"> </w:t>
      </w:r>
      <w:r>
        <w:tab/>
        <w:t xml:space="preserve">See </w:t>
      </w:r>
      <w:hyperlink r:id="rId62" w:history="1">
        <w:r>
          <w:rPr>
            <w:rStyle w:val="Hyperlink"/>
          </w:rPr>
          <w:t>http://ec.europa.eu/research/par</w:t>
        </w:r>
        <w:r>
          <w:rPr>
            <w:rStyle w:val="Hyperlink"/>
          </w:rPr>
          <w:t>ticipants/data/ref/h2020/other/hi/h2020_localsupp_india_en.pdf</w:t>
        </w:r>
      </w:hyperlink>
      <w:r>
        <w:t xml:space="preserve">. </w:t>
      </w:r>
    </w:p>
  </w:footnote>
  <w:footnote w:id="103">
    <w:p w:rsidR="006E1BDE" w:rsidRDefault="00244DD3">
      <w:pPr>
        <w:pStyle w:val="FootnoteText"/>
        <w:jc w:val="left"/>
      </w:pPr>
      <w:r>
        <w:rPr>
          <w:rStyle w:val="FootnoteReference"/>
        </w:rPr>
        <w:footnoteRef/>
      </w:r>
      <w:r>
        <w:t xml:space="preserve"> </w:t>
      </w:r>
      <w:r>
        <w:tab/>
        <w:t xml:space="preserve">See </w:t>
      </w:r>
      <w:hyperlink r:id="rId63" w:history="1">
        <w:r>
          <w:rPr>
            <w:rStyle w:val="Hyperlink"/>
          </w:rPr>
          <w:t>http://eeas.europa.eu/archives/delegations/india/documents/h2020_brochure-i</w:t>
        </w:r>
        <w:r>
          <w:rPr>
            <w:rStyle w:val="Hyperlink"/>
          </w:rPr>
          <w:t>ndia-aug_2014.pdf</w:t>
        </w:r>
      </w:hyperlink>
      <w:r>
        <w:t xml:space="preserve">. </w:t>
      </w:r>
    </w:p>
  </w:footnote>
  <w:footnote w:id="104">
    <w:p w:rsidR="006E1BDE" w:rsidRDefault="00244DD3">
      <w:pPr>
        <w:pStyle w:val="FootnoteText"/>
        <w:jc w:val="left"/>
      </w:pPr>
      <w:r>
        <w:rPr>
          <w:rStyle w:val="FootnoteReference"/>
        </w:rPr>
        <w:footnoteRef/>
      </w:r>
      <w:r>
        <w:t xml:space="preserve"> </w:t>
      </w:r>
      <w:r>
        <w:tab/>
      </w:r>
      <w:r>
        <w:rPr>
          <w:lang w:val="en-US"/>
        </w:rPr>
        <w:t>See page 89 in: “Building up the future”, Sub Group on Advanced Biofuels, edited: Kyriakos Maniatis, Lars Waldheim, Eric van den Heuvel &amp; Stamatis Kalligeros, February 2017.</w:t>
      </w:r>
      <w:r>
        <w:t xml:space="preserve"> </w:t>
      </w:r>
    </w:p>
  </w:footnote>
  <w:footnote w:id="105">
    <w:p w:rsidR="006E1BDE" w:rsidRDefault="00244DD3">
      <w:pPr>
        <w:pStyle w:val="FootnoteText"/>
        <w:jc w:val="left"/>
      </w:pPr>
      <w:r>
        <w:rPr>
          <w:rStyle w:val="FootnoteReference"/>
        </w:rPr>
        <w:footnoteRef/>
      </w:r>
      <w:r>
        <w:tab/>
        <w:t xml:space="preserve">See </w:t>
      </w:r>
      <w:hyperlink r:id="rId64" w:history="1">
        <w:r>
          <w:rPr>
            <w:rStyle w:val="Hyperlink"/>
          </w:rPr>
          <w:t>https://ec.europa.eu/programmes/horizon2020/en/h2020-section/access-risk-finance</w:t>
        </w:r>
      </w:hyperlink>
      <w:r>
        <w:t xml:space="preserve">. </w:t>
      </w:r>
    </w:p>
  </w:footnote>
  <w:footnote w:id="106">
    <w:p w:rsidR="006E1BDE" w:rsidRDefault="00244DD3">
      <w:pPr>
        <w:pStyle w:val="FootnoteText"/>
        <w:jc w:val="left"/>
      </w:pPr>
      <w:r>
        <w:rPr>
          <w:rStyle w:val="FootnoteReference"/>
        </w:rPr>
        <w:footnoteRef/>
      </w:r>
      <w:r>
        <w:t xml:space="preserve"> </w:t>
      </w:r>
      <w:r>
        <w:tab/>
        <w:t xml:space="preserve">See </w:t>
      </w:r>
      <w:hyperlink r:id="rId65" w:history="1">
        <w:r>
          <w:rPr>
            <w:rStyle w:val="Hyperlink"/>
          </w:rPr>
          <w:t>http://www.eib.org/</w:t>
        </w:r>
      </w:hyperlink>
      <w:r>
        <w:t xml:space="preserve">. </w:t>
      </w:r>
    </w:p>
  </w:footnote>
  <w:footnote w:id="107">
    <w:p w:rsidR="006E1BDE" w:rsidRDefault="00244DD3">
      <w:pPr>
        <w:pStyle w:val="FootnoteText"/>
        <w:jc w:val="left"/>
      </w:pPr>
      <w:r>
        <w:rPr>
          <w:rStyle w:val="FootnoteReference"/>
        </w:rPr>
        <w:footnoteRef/>
      </w:r>
      <w:r>
        <w:t xml:space="preserve"> </w:t>
      </w:r>
      <w:r>
        <w:tab/>
        <w:t xml:space="preserve">See </w:t>
      </w:r>
      <w:hyperlink r:id="rId66" w:history="1">
        <w:r>
          <w:rPr>
            <w:rStyle w:val="Hyperlink"/>
          </w:rPr>
          <w:t>http://www.eif.org/</w:t>
        </w:r>
      </w:hyperlink>
      <w:r>
        <w:t xml:space="preserve">. </w:t>
      </w:r>
    </w:p>
  </w:footnote>
  <w:footnote w:id="108">
    <w:p w:rsidR="006E1BDE" w:rsidRDefault="00244DD3">
      <w:pPr>
        <w:pStyle w:val="FootnoteText"/>
        <w:jc w:val="left"/>
      </w:pPr>
      <w:r>
        <w:rPr>
          <w:rStyle w:val="FootnoteReference"/>
        </w:rPr>
        <w:footnoteRef/>
      </w:r>
      <w:r>
        <w:t xml:space="preserve"> </w:t>
      </w:r>
      <w:r>
        <w:tab/>
        <w:t xml:space="preserve">See </w:t>
      </w:r>
      <w:hyperlink r:id="rId67" w:history="1">
        <w:r>
          <w:rPr>
            <w:rStyle w:val="Hyperlink"/>
          </w:rPr>
          <w:t>https://ec.europa.eu/clima/consultations/public-consultation-establishment-innovation-fund_en</w:t>
        </w:r>
      </w:hyperlink>
      <w:r>
        <w:t xml:space="preserve">. </w:t>
      </w:r>
    </w:p>
  </w:footnote>
  <w:footnote w:id="109">
    <w:p w:rsidR="006E1BDE" w:rsidRDefault="00244DD3">
      <w:pPr>
        <w:pStyle w:val="FootnoteText"/>
        <w:jc w:val="left"/>
      </w:pPr>
      <w:r>
        <w:rPr>
          <w:rStyle w:val="FootnoteReference"/>
        </w:rPr>
        <w:footnoteRef/>
      </w:r>
      <w:r>
        <w:t xml:space="preserve"> </w:t>
      </w:r>
      <w:r>
        <w:tab/>
        <w:t>Ingvar Landälv, “Technology Status an</w:t>
      </w:r>
      <w:r>
        <w:t>d Reliability of the value chains”, Sub Group on Advanced Biofuels, edited: Kyriakos Maniatis, Lars Waldheim, Eric van den Heuvel &amp; Stamatis Kalligeros, February 2017.</w:t>
      </w:r>
    </w:p>
  </w:footnote>
  <w:footnote w:id="110">
    <w:p w:rsidR="006E1BDE" w:rsidRDefault="00244DD3">
      <w:pPr>
        <w:pStyle w:val="FootnoteText"/>
        <w:jc w:val="left"/>
      </w:pPr>
      <w:r>
        <w:rPr>
          <w:rStyle w:val="FootnoteReference"/>
        </w:rPr>
        <w:footnoteRef/>
      </w:r>
      <w:r>
        <w:t xml:space="preserve"> </w:t>
      </w:r>
      <w:r>
        <w:tab/>
        <w:t>Ingvar Landälv &amp; Lars Waldheim, “Cost of Biofuels”, Sub Group on Advanced Biofuels, e</w:t>
      </w:r>
      <w:r>
        <w:t>dited: Kyriakos Maniatis, Eric van den Heuvel &amp; Stamatis Kalligeros, February 2017.</w:t>
      </w:r>
    </w:p>
  </w:footnote>
  <w:footnote w:id="111">
    <w:p w:rsidR="006E1BDE" w:rsidRDefault="00244DD3">
      <w:pPr>
        <w:pStyle w:val="FootnoteText"/>
        <w:jc w:val="left"/>
      </w:pPr>
      <w:r>
        <w:rPr>
          <w:rStyle w:val="FootnoteReference"/>
        </w:rPr>
        <w:footnoteRef/>
      </w:r>
      <w:r>
        <w:t xml:space="preserve"> </w:t>
      </w:r>
      <w:r>
        <w:tab/>
        <w:t>“Building up the future”, Sub Group on Advanced Biofuels, edited: Kyriakos Maniatis, Lars Waldheim, Eric van den Heuvel &amp; Stamatis Kalligeros, February 2017.</w:t>
      </w:r>
    </w:p>
  </w:footnote>
  <w:footnote w:id="112">
    <w:p w:rsidR="006E1BDE" w:rsidRDefault="00244DD3">
      <w:pPr>
        <w:pStyle w:val="FootnoteText"/>
        <w:jc w:val="left"/>
      </w:pPr>
      <w:r>
        <w:rPr>
          <w:rStyle w:val="FootnoteReference"/>
        </w:rPr>
        <w:footnoteRef/>
      </w:r>
      <w:r>
        <w:t xml:space="preserve"> </w:t>
      </w:r>
      <w:r>
        <w:tab/>
        <w:t xml:space="preserve">See </w:t>
      </w:r>
      <w:hyperlink r:id="rId68" w:history="1">
        <w:r>
          <w:rPr>
            <w:rStyle w:val="Hyperlink"/>
          </w:rPr>
          <w:t>https://www.nasa.gov/directorates/heo/scan/engineering/technology/txt_accordion1.html</w:t>
        </w:r>
      </w:hyperlink>
      <w:r>
        <w:t xml:space="preserve">. </w:t>
      </w:r>
    </w:p>
  </w:footnote>
  <w:footnote w:id="113">
    <w:p w:rsidR="006E1BDE" w:rsidRDefault="00244DD3">
      <w:pPr>
        <w:pStyle w:val="FootnoteText"/>
        <w:jc w:val="left"/>
      </w:pPr>
      <w:r>
        <w:rPr>
          <w:rStyle w:val="FootnoteReference"/>
        </w:rPr>
        <w:footnoteRef/>
      </w:r>
      <w:r>
        <w:t xml:space="preserve"> </w:t>
      </w:r>
      <w:r>
        <w:tab/>
        <w:t xml:space="preserve">For definitions per TRL 1-9 under the H2020 programme, see: </w:t>
      </w:r>
      <w:hyperlink r:id="rId69" w:history="1">
        <w:r>
          <w:rPr>
            <w:rStyle w:val="Hyperlink"/>
          </w:rPr>
          <w:t>https://ec.europa.eu/research/participants/data/ref/h2020/wp/2014_2015/annexes/h2020-wp1415-annex-g-trl_en.pdf</w:t>
        </w:r>
      </w:hyperlink>
      <w:r>
        <w:t xml:space="preserve">. </w:t>
      </w:r>
    </w:p>
  </w:footnote>
  <w:footnote w:id="114">
    <w:p w:rsidR="006E1BDE" w:rsidRDefault="00244DD3">
      <w:pPr>
        <w:pStyle w:val="FootnoteText"/>
        <w:jc w:val="left"/>
      </w:pPr>
      <w:r>
        <w:rPr>
          <w:rStyle w:val="FootnoteReference"/>
        </w:rPr>
        <w:footnoteRef/>
      </w:r>
      <w:r>
        <w:tab/>
        <w:t xml:space="preserve">See </w:t>
      </w:r>
      <w:hyperlink r:id="rId70" w:history="1">
        <w:r>
          <w:rPr>
            <w:rStyle w:val="Hyperlink"/>
          </w:rPr>
          <w:t>http://ec.europa.eu/research/participants/portal/desktop/en/home.html</w:t>
        </w:r>
      </w:hyperlink>
      <w:r>
        <w:t xml:space="preserve">. </w:t>
      </w:r>
    </w:p>
  </w:footnote>
  <w:footnote w:id="115">
    <w:p w:rsidR="006E1BDE" w:rsidRDefault="00244DD3">
      <w:pPr>
        <w:pStyle w:val="FootnoteText"/>
        <w:jc w:val="left"/>
      </w:pPr>
      <w:r>
        <w:rPr>
          <w:rStyle w:val="FootnoteReference"/>
        </w:rPr>
        <w:footnoteRef/>
      </w:r>
      <w:r>
        <w:t xml:space="preserve"> </w:t>
      </w:r>
      <w:r>
        <w:tab/>
        <w:t>Tony Bridgwater &amp; Kyriakos Maniatis, Ch. 10, “The production of biofuels by the thermochemical processing of bio</w:t>
      </w:r>
      <w:r>
        <w:t>mass”, Molecular to Global Photosynthesis, Ed. Archer Mary D., Ed. Barber James, Imperial College Press, 2004, 521-612.</w:t>
      </w:r>
    </w:p>
  </w:footnote>
  <w:footnote w:id="116">
    <w:p w:rsidR="006E1BDE" w:rsidRDefault="00244DD3">
      <w:pPr>
        <w:pStyle w:val="FootnoteText"/>
        <w:jc w:val="left"/>
      </w:pPr>
      <w:r>
        <w:rPr>
          <w:rStyle w:val="FootnoteReference"/>
        </w:rPr>
        <w:footnoteRef/>
      </w:r>
      <w:r>
        <w:t xml:space="preserve"> </w:t>
      </w:r>
      <w:r>
        <w:tab/>
        <w:t xml:space="preserve">See Annex 1, ETIP Bioenergy Strategic Research and Innovation Agenda, 2016, available at </w:t>
      </w:r>
      <w:hyperlink r:id="rId71" w:history="1">
        <w:r>
          <w:rPr>
            <w:rStyle w:val="Hyperlink"/>
          </w:rPr>
          <w:t>http://www.etipbioenergy.eu/images/EBTP-SRIA-2016.pdf</w:t>
        </w:r>
      </w:hyperlink>
      <w:r>
        <w:t xml:space="preserve">. </w:t>
      </w:r>
    </w:p>
  </w:footnote>
  <w:footnote w:id="117">
    <w:p w:rsidR="006E1BDE" w:rsidRDefault="00244DD3">
      <w:pPr>
        <w:pStyle w:val="FootnoteText"/>
        <w:jc w:val="left"/>
      </w:pPr>
      <w:r>
        <w:rPr>
          <w:rStyle w:val="FootnoteReference"/>
        </w:rPr>
        <w:footnoteRef/>
      </w:r>
      <w:r>
        <w:t xml:space="preserve"> </w:t>
      </w:r>
      <w:r>
        <w:tab/>
      </w:r>
      <w:r>
        <w:rPr>
          <w:lang w:val="en-US"/>
        </w:rPr>
        <w:t xml:space="preserve">Tony Bridgwater &amp; Kyriakos Maniatis, Ch. 10, “The production of biofuels by the thermochemical processing of biomass”, Molecular to Global Photosynthesis, Ed. Archer Mary </w:t>
      </w:r>
      <w:r>
        <w:rPr>
          <w:lang w:val="en-US"/>
        </w:rPr>
        <w:t>D., Ed. Barber James, Imperial College Press, 2004, 521-612.</w:t>
      </w:r>
    </w:p>
  </w:footnote>
  <w:footnote w:id="118">
    <w:p w:rsidR="006E1BDE" w:rsidRDefault="00244DD3">
      <w:pPr>
        <w:pStyle w:val="FootnoteText"/>
        <w:jc w:val="left"/>
      </w:pPr>
      <w:r>
        <w:rPr>
          <w:rStyle w:val="FootnoteReference"/>
        </w:rPr>
        <w:footnoteRef/>
      </w:r>
      <w:r>
        <w:t xml:space="preserve"> </w:t>
      </w:r>
      <w:r>
        <w:tab/>
      </w:r>
      <w:r>
        <w:rPr>
          <w:lang w:val="en-US"/>
        </w:rPr>
        <w:t>See page 9 in: Ingvar Landälv, “Technology Status and Reliability of the value chains”, Sub Group on Advanced Biofuels, edited: Kyriakos Maniatis, Lars Waldheim, Eric van den Heuvel &amp; Stamatis</w:t>
      </w:r>
      <w:r>
        <w:rPr>
          <w:lang w:val="en-US"/>
        </w:rPr>
        <w:t xml:space="preserve"> Kalligeros, February 2017.</w:t>
      </w:r>
    </w:p>
  </w:footnote>
  <w:footnote w:id="119">
    <w:p w:rsidR="006E1BDE" w:rsidRDefault="00244DD3">
      <w:pPr>
        <w:pStyle w:val="FootnoteText"/>
        <w:jc w:val="left"/>
      </w:pPr>
      <w:r>
        <w:rPr>
          <w:rStyle w:val="FootnoteReference"/>
        </w:rPr>
        <w:footnoteRef/>
      </w:r>
      <w:r>
        <w:tab/>
        <w:t xml:space="preserve">See </w:t>
      </w:r>
      <w:hyperlink r:id="rId72" w:history="1">
        <w:r>
          <w:rPr>
            <w:rStyle w:val="Hyperlink"/>
          </w:rPr>
          <w:t>https://gobigas.goteborgenergi.se/English_version/Start</w:t>
        </w:r>
      </w:hyperlink>
      <w:r>
        <w:t>; GoBiGas was built by Göteborg Energi's and it is a biomass gasification demonstration plant t</w:t>
      </w:r>
      <w:r>
        <w:t>o produce bio-syngas (bio-SNG). The Gothenburg Biomass Gasification Project (GoBiGas) is the world’s largest woody biomass gasification demonstration project. However, the plant has been put for sale by Göteborg Energi.</w:t>
      </w:r>
    </w:p>
  </w:footnote>
  <w:footnote w:id="120">
    <w:p w:rsidR="006E1BDE" w:rsidRDefault="00244DD3">
      <w:pPr>
        <w:pStyle w:val="FootnoteText"/>
        <w:jc w:val="left"/>
      </w:pPr>
      <w:r>
        <w:rPr>
          <w:rStyle w:val="FootnoteReference"/>
        </w:rPr>
        <w:footnoteRef/>
      </w:r>
      <w:r>
        <w:t xml:space="preserve"> </w:t>
      </w:r>
      <w:r>
        <w:tab/>
        <w:t xml:space="preserve">See </w:t>
      </w:r>
      <w:hyperlink r:id="rId73" w:history="1">
        <w:r>
          <w:rPr>
            <w:rStyle w:val="Hyperlink"/>
          </w:rPr>
          <w:t>http://www.repotec.at/index.php/95.html</w:t>
        </w:r>
      </w:hyperlink>
      <w:r>
        <w:t xml:space="preserve">. </w:t>
      </w:r>
    </w:p>
  </w:footnote>
  <w:footnote w:id="121">
    <w:p w:rsidR="006E1BDE" w:rsidRDefault="00244DD3">
      <w:pPr>
        <w:pStyle w:val="FootnoteText"/>
        <w:jc w:val="left"/>
      </w:pPr>
      <w:r>
        <w:rPr>
          <w:rStyle w:val="FootnoteReference"/>
        </w:rPr>
        <w:footnoteRef/>
      </w:r>
      <w:r>
        <w:t xml:space="preserve"> </w:t>
      </w:r>
      <w:r>
        <w:tab/>
        <w:t xml:space="preserve">See </w:t>
      </w:r>
      <w:hyperlink r:id="rId74" w:history="1">
        <w:r>
          <w:rPr>
            <w:rStyle w:val="Hyperlink"/>
          </w:rPr>
          <w:t>http://www.valmet.com/</w:t>
        </w:r>
      </w:hyperlink>
      <w:r>
        <w:t xml:space="preserve">; Valmet, a Finnish company, is a leading developer and supplier of technologies and services to the pulp, paper and </w:t>
      </w:r>
      <w:r>
        <w:t>energy industries.</w:t>
      </w:r>
    </w:p>
  </w:footnote>
  <w:footnote w:id="122">
    <w:p w:rsidR="006E1BDE" w:rsidRDefault="00244DD3">
      <w:pPr>
        <w:pStyle w:val="FootnoteText"/>
        <w:jc w:val="left"/>
      </w:pPr>
      <w:r>
        <w:rPr>
          <w:rStyle w:val="FootnoteReference"/>
        </w:rPr>
        <w:footnoteRef/>
      </w:r>
      <w:r>
        <w:tab/>
        <w:t xml:space="preserve">See </w:t>
      </w:r>
      <w:hyperlink r:id="rId75" w:history="1">
        <w:r>
          <w:rPr>
            <w:rStyle w:val="Hyperlink"/>
          </w:rPr>
          <w:t>https://www.total.com/en/energy-expertise/projects/bioenergies/biotfuel-converting-plant-wastes-into-fuel</w:t>
        </w:r>
      </w:hyperlink>
      <w:r>
        <w:t xml:space="preserve">. </w:t>
      </w:r>
    </w:p>
  </w:footnote>
  <w:footnote w:id="123">
    <w:p w:rsidR="006E1BDE" w:rsidRDefault="00244DD3">
      <w:pPr>
        <w:pStyle w:val="FootnoteText"/>
        <w:jc w:val="left"/>
      </w:pPr>
      <w:r>
        <w:rPr>
          <w:rStyle w:val="FootnoteReference"/>
        </w:rPr>
        <w:footnoteRef/>
      </w:r>
      <w:r>
        <w:tab/>
        <w:t xml:space="preserve">See </w:t>
      </w:r>
      <w:hyperlink r:id="rId76" w:history="1">
        <w:r>
          <w:rPr>
            <w:rStyle w:val="Hyperlink"/>
          </w:rPr>
          <w:t>https://www.thyssenkrupp-industrial-solutions.com/en/products-and-services/chemical-plants-and-processes/gasificatio</w:t>
        </w:r>
        <w:r>
          <w:rPr>
            <w:rStyle w:val="Hyperlink"/>
          </w:rPr>
          <w:t>n/</w:t>
        </w:r>
      </w:hyperlink>
      <w:r>
        <w:t>; The Thyssenkrupp Industrial Solutions business area is a leading partner for the engineering, construction and service of several industrial plants and systems.</w:t>
      </w:r>
    </w:p>
  </w:footnote>
  <w:footnote w:id="124">
    <w:p w:rsidR="006E1BDE" w:rsidRDefault="00244DD3">
      <w:pPr>
        <w:pStyle w:val="FootnoteText"/>
        <w:jc w:val="left"/>
      </w:pPr>
      <w:r>
        <w:rPr>
          <w:rStyle w:val="FootnoteReference"/>
        </w:rPr>
        <w:footnoteRef/>
      </w:r>
      <w:r>
        <w:t xml:space="preserve"> </w:t>
      </w:r>
      <w:r>
        <w:tab/>
        <w:t xml:space="preserve">See </w:t>
      </w:r>
      <w:hyperlink r:id="rId77" w:history="1">
        <w:r>
          <w:rPr>
            <w:rStyle w:val="Hyperlink"/>
          </w:rPr>
          <w:t>https://www.axens.net</w:t>
        </w:r>
      </w:hyperlink>
      <w:r>
        <w:t>; Axens SA provides advan</w:t>
      </w:r>
      <w:r>
        <w:t>ced technologies, catalysts, adsorbents, and services. The company focuses on the conversion of oil, coal, natural gas, and biomass to clean fuels, as well as the production and purification of petrochemical intermediates.</w:t>
      </w:r>
    </w:p>
  </w:footnote>
  <w:footnote w:id="125">
    <w:p w:rsidR="006E1BDE" w:rsidRDefault="00244DD3">
      <w:pPr>
        <w:pStyle w:val="FootnoteText"/>
        <w:jc w:val="left"/>
      </w:pPr>
      <w:r>
        <w:rPr>
          <w:rStyle w:val="FootnoteReference"/>
        </w:rPr>
        <w:footnoteRef/>
      </w:r>
      <w:r>
        <w:t xml:space="preserve"> </w:t>
      </w:r>
      <w:r>
        <w:tab/>
        <w:t xml:space="preserve">See </w:t>
      </w:r>
      <w:hyperlink r:id="rId78" w:history="1">
        <w:r>
          <w:rPr>
            <w:rStyle w:val="Hyperlink"/>
          </w:rPr>
          <w:t>http://gogreengas.com/</w:t>
        </w:r>
      </w:hyperlink>
      <w:r>
        <w:t xml:space="preserve">. </w:t>
      </w:r>
    </w:p>
  </w:footnote>
  <w:footnote w:id="126">
    <w:p w:rsidR="006E1BDE" w:rsidRDefault="00244DD3">
      <w:pPr>
        <w:pStyle w:val="FootnoteText"/>
        <w:jc w:val="left"/>
      </w:pPr>
      <w:r>
        <w:rPr>
          <w:rStyle w:val="FootnoteReference"/>
        </w:rPr>
        <w:footnoteRef/>
      </w:r>
      <w:r>
        <w:t xml:space="preserve"> </w:t>
      </w:r>
      <w:r>
        <w:tab/>
        <w:t xml:space="preserve">See </w:t>
      </w:r>
      <w:hyperlink r:id="rId79" w:history="1">
        <w:r>
          <w:rPr>
            <w:rStyle w:val="Hyperlink"/>
          </w:rPr>
          <w:t>https://www.nationalgrid.com/uk/ga</w:t>
        </w:r>
      </w:hyperlink>
      <w:r>
        <w:rPr>
          <w:rStyle w:val="Hyperlink"/>
        </w:rPr>
        <w:t xml:space="preserve">. </w:t>
      </w:r>
    </w:p>
  </w:footnote>
  <w:footnote w:id="127">
    <w:p w:rsidR="006E1BDE" w:rsidRDefault="00244DD3">
      <w:pPr>
        <w:pStyle w:val="FootnoteText"/>
        <w:jc w:val="left"/>
      </w:pPr>
      <w:r>
        <w:rPr>
          <w:rStyle w:val="FootnoteReference"/>
        </w:rPr>
        <w:footnoteRef/>
      </w:r>
      <w:r>
        <w:t xml:space="preserve"> </w:t>
      </w:r>
      <w:r>
        <w:tab/>
        <w:t xml:space="preserve">See </w:t>
      </w:r>
      <w:hyperlink r:id="rId80" w:history="1">
        <w:r>
          <w:rPr>
            <w:rStyle w:val="Hyperlink"/>
          </w:rPr>
          <w:t>http://advancedplasmapower.com/about-us/our-company/</w:t>
        </w:r>
      </w:hyperlink>
      <w:r>
        <w:t>; The Gasplasma® process is an innovative combination of two well-established technologies – gasification and plasma treatment.</w:t>
      </w:r>
    </w:p>
  </w:footnote>
  <w:footnote w:id="128">
    <w:p w:rsidR="006E1BDE" w:rsidRDefault="00244DD3">
      <w:pPr>
        <w:pStyle w:val="FootnoteText"/>
        <w:jc w:val="left"/>
      </w:pPr>
      <w:r>
        <w:rPr>
          <w:rStyle w:val="FootnoteReference"/>
        </w:rPr>
        <w:footnoteRef/>
      </w:r>
      <w:r>
        <w:tab/>
        <w:t xml:space="preserve">See </w:t>
      </w:r>
      <w:hyperlink r:id="rId81" w:history="1">
        <w:r>
          <w:rPr>
            <w:rStyle w:val="Hyperlink"/>
          </w:rPr>
          <w:t>http://www.progress</w:t>
        </w:r>
        <w:r>
          <w:rPr>
            <w:rStyle w:val="Hyperlink"/>
          </w:rPr>
          <w:t>ive-energy.com/</w:t>
        </w:r>
      </w:hyperlink>
      <w:r>
        <w:t>; Progressive Energy is an established independent UK clean energy company focusing on project development and implementation. The company was formed in 1998 to commercialise key energy conversion technologies including coal gasification (al</w:t>
      </w:r>
      <w:r>
        <w:t>ongside carbon capture and storage), novel waste to energy, and biomass conversion.</w:t>
      </w:r>
    </w:p>
  </w:footnote>
  <w:footnote w:id="129">
    <w:p w:rsidR="006E1BDE" w:rsidRDefault="00244DD3">
      <w:pPr>
        <w:pStyle w:val="FootnoteText"/>
        <w:jc w:val="left"/>
      </w:pPr>
      <w:r>
        <w:rPr>
          <w:rStyle w:val="FootnoteReference"/>
        </w:rPr>
        <w:footnoteRef/>
      </w:r>
      <w:r>
        <w:t xml:space="preserve"> </w:t>
      </w:r>
      <w:r>
        <w:tab/>
        <w:t xml:space="preserve">See </w:t>
      </w:r>
      <w:hyperlink r:id="rId82" w:history="1">
        <w:r>
          <w:rPr>
            <w:rStyle w:val="Hyperlink"/>
          </w:rPr>
          <w:t>http://www.carbotech.info/en/</w:t>
        </w:r>
      </w:hyperlink>
      <w:r>
        <w:rPr>
          <w:rStyle w:val="Hyperlink"/>
        </w:rPr>
        <w:t xml:space="preserve">. </w:t>
      </w:r>
    </w:p>
  </w:footnote>
  <w:footnote w:id="130">
    <w:p w:rsidR="006E1BDE" w:rsidRDefault="00244DD3">
      <w:pPr>
        <w:pStyle w:val="FootnoteText"/>
        <w:jc w:val="left"/>
      </w:pPr>
      <w:r>
        <w:rPr>
          <w:rStyle w:val="FootnoteReference"/>
        </w:rPr>
        <w:footnoteRef/>
      </w:r>
      <w:r>
        <w:t xml:space="preserve"> </w:t>
      </w:r>
      <w:r>
        <w:tab/>
        <w:t xml:space="preserve">See </w:t>
      </w:r>
      <w:hyperlink r:id="rId83" w:history="1">
        <w:r>
          <w:rPr>
            <w:rStyle w:val="Hyperlink"/>
          </w:rPr>
          <w:t>http://biofuel.org.uk/Chemrec</w:t>
        </w:r>
        <w:r>
          <w:rPr>
            <w:rStyle w:val="Hyperlink"/>
          </w:rPr>
          <w:t>.html</w:t>
        </w:r>
      </w:hyperlink>
      <w:r>
        <w:t xml:space="preserve">; Chemrec was founded in 1989 in Stockholm holding patents on the gasification of black liquor. </w:t>
      </w:r>
    </w:p>
  </w:footnote>
  <w:footnote w:id="131">
    <w:p w:rsidR="006E1BDE" w:rsidRDefault="00244DD3">
      <w:pPr>
        <w:pStyle w:val="FootnoteText"/>
        <w:jc w:val="left"/>
      </w:pPr>
      <w:r>
        <w:rPr>
          <w:rStyle w:val="FootnoteReference"/>
        </w:rPr>
        <w:footnoteRef/>
      </w:r>
      <w:r>
        <w:t xml:space="preserve"> </w:t>
      </w:r>
      <w:r>
        <w:tab/>
        <w:t xml:space="preserve">See </w:t>
      </w:r>
      <w:hyperlink r:id="rId84" w:history="1">
        <w:r>
          <w:rPr>
            <w:rStyle w:val="Hyperlink"/>
          </w:rPr>
          <w:t>https://www.topsoe.com</w:t>
        </w:r>
      </w:hyperlink>
      <w:r>
        <w:t>; HardorTopsoe is a leading company in catalysis and process technology driving optima</w:t>
      </w:r>
      <w:r>
        <w:t>l performance within chemical processing, hydroprocessing and emissions management. It develops, manufactures, and sells catalysts, equipment, spare parts, and consumables.</w:t>
      </w:r>
    </w:p>
  </w:footnote>
  <w:footnote w:id="132">
    <w:p w:rsidR="006E1BDE" w:rsidRDefault="00244DD3">
      <w:pPr>
        <w:pStyle w:val="FootnoteText"/>
        <w:jc w:val="left"/>
      </w:pPr>
      <w:r>
        <w:rPr>
          <w:rStyle w:val="FootnoteReference"/>
        </w:rPr>
        <w:footnoteRef/>
      </w:r>
      <w:r>
        <w:t xml:space="preserve"> </w:t>
      </w:r>
      <w:r>
        <w:tab/>
        <w:t xml:space="preserve">See </w:t>
      </w:r>
      <w:hyperlink r:id="rId85" w:history="1">
        <w:r>
          <w:rPr>
            <w:rStyle w:val="Hyperlink"/>
          </w:rPr>
          <w:t>https://www.ltu.se/?l=en</w:t>
        </w:r>
      </w:hyperlink>
      <w:r>
        <w:t>; Lulea Uni</w:t>
      </w:r>
      <w:r>
        <w:t>versity of Technology is an institution located in Lulea, Sweden and is experiencing a strong growth with world-leading competence in several areas of research. The university's research is conducted in close cooperation with several companies and industri</w:t>
      </w:r>
      <w:r>
        <w:t>es.</w:t>
      </w:r>
    </w:p>
  </w:footnote>
  <w:footnote w:id="133">
    <w:p w:rsidR="006E1BDE" w:rsidRDefault="00244DD3">
      <w:pPr>
        <w:pStyle w:val="FootnoteText"/>
        <w:jc w:val="left"/>
      </w:pPr>
      <w:r>
        <w:rPr>
          <w:rStyle w:val="FootnoteReference"/>
        </w:rPr>
        <w:footnoteRef/>
      </w:r>
      <w:r>
        <w:t xml:space="preserve"> </w:t>
      </w:r>
      <w:r>
        <w:tab/>
        <w:t xml:space="preserve">See </w:t>
      </w:r>
      <w:hyperlink r:id="rId86" w:history="1">
        <w:r>
          <w:rPr>
            <w:rStyle w:val="Hyperlink"/>
          </w:rPr>
          <w:t>https://www.kit.edu/english</w:t>
        </w:r>
      </w:hyperlink>
      <w:r>
        <w:t xml:space="preserve">; The Karlsruhe Institute of Technology, was established by the merger of the Forschungszentrum Karlsruhe GmbH and the Universität Karlsruhe (TH) on October 01, 2009. KIT </w:t>
      </w:r>
      <w:r>
        <w:t>combines the tasks of a university of the state of Baden-Württemberg with those of a research centre of the Helmholtz Association in the areas of research, teaching, and innovation.</w:t>
      </w:r>
    </w:p>
  </w:footnote>
  <w:footnote w:id="134">
    <w:p w:rsidR="006E1BDE" w:rsidRDefault="00244DD3">
      <w:pPr>
        <w:pStyle w:val="FootnoteText"/>
        <w:jc w:val="left"/>
      </w:pPr>
      <w:r>
        <w:rPr>
          <w:rStyle w:val="FootnoteReference"/>
        </w:rPr>
        <w:footnoteRef/>
      </w:r>
      <w:r>
        <w:t xml:space="preserve"> </w:t>
      </w:r>
      <w:r>
        <w:tab/>
        <w:t xml:space="preserve">See </w:t>
      </w:r>
      <w:hyperlink r:id="rId87" w:history="1">
        <w:r>
          <w:rPr>
            <w:rStyle w:val="Hyperlink"/>
          </w:rPr>
          <w:t>https://www</w:t>
        </w:r>
        <w:r>
          <w:rPr>
            <w:rStyle w:val="Hyperlink"/>
          </w:rPr>
          <w:t>.bioliq.de/english/index.php</w:t>
        </w:r>
      </w:hyperlink>
      <w:r>
        <w:t xml:space="preserve">. </w:t>
      </w:r>
    </w:p>
  </w:footnote>
  <w:footnote w:id="135">
    <w:p w:rsidR="006E1BDE" w:rsidRDefault="00244DD3">
      <w:pPr>
        <w:pStyle w:val="FootnoteText"/>
        <w:jc w:val="left"/>
      </w:pPr>
      <w:r>
        <w:rPr>
          <w:rStyle w:val="FootnoteReference"/>
        </w:rPr>
        <w:footnoteRef/>
      </w:r>
      <w:r>
        <w:t xml:space="preserve"> </w:t>
      </w:r>
      <w:r>
        <w:tab/>
        <w:t xml:space="preserve">See </w:t>
      </w:r>
      <w:hyperlink r:id="rId88" w:history="1">
        <w:r>
          <w:rPr>
            <w:rStyle w:val="Hyperlink"/>
          </w:rPr>
          <w:t>https://www.engineering-airliquide.com</w:t>
        </w:r>
      </w:hyperlink>
      <w:r>
        <w:t>; the Lurgi gasification technology has been acquired by Air Liquide.</w:t>
      </w:r>
    </w:p>
  </w:footnote>
  <w:footnote w:id="136">
    <w:p w:rsidR="006E1BDE" w:rsidRDefault="00244DD3">
      <w:pPr>
        <w:pStyle w:val="FootnoteText"/>
        <w:jc w:val="left"/>
      </w:pPr>
      <w:r>
        <w:rPr>
          <w:rStyle w:val="FootnoteReference"/>
        </w:rPr>
        <w:footnoteRef/>
      </w:r>
      <w:r>
        <w:t xml:space="preserve"> </w:t>
      </w:r>
      <w:r>
        <w:tab/>
      </w:r>
      <w:r>
        <w:rPr>
          <w:lang w:val="en-US"/>
        </w:rPr>
        <w:t>Tony Bridgwater &amp; Kyriakos Maniatis, Ch. 10, “The pr</w:t>
      </w:r>
      <w:r>
        <w:rPr>
          <w:lang w:val="en-US"/>
        </w:rPr>
        <w:t>oduction of biofuels by the thermochemical processing of biomass”, Molecular to Global Photosynthesis, Ed. Archer Mary D., Ed. Barber James, Imperial College Press, 2004, 521-612.</w:t>
      </w:r>
    </w:p>
  </w:footnote>
  <w:footnote w:id="137">
    <w:p w:rsidR="006E1BDE" w:rsidRDefault="00244DD3">
      <w:pPr>
        <w:pStyle w:val="FootnoteText"/>
        <w:jc w:val="left"/>
      </w:pPr>
      <w:r>
        <w:rPr>
          <w:rStyle w:val="FootnoteReference"/>
        </w:rPr>
        <w:footnoteRef/>
      </w:r>
      <w:r>
        <w:tab/>
        <w:t xml:space="preserve">See </w:t>
      </w:r>
      <w:hyperlink r:id="rId89" w:history="1">
        <w:r>
          <w:rPr>
            <w:rStyle w:val="Hyperlink"/>
          </w:rPr>
          <w:t>https://www3.fortum.com/about-us/our-company/our-energy-production/our-power-plants/joensuu-chp-plant</w:t>
        </w:r>
      </w:hyperlink>
      <w:r>
        <w:t xml:space="preserve">; Fortum's first bio-oil plant was integrated to Joensuu CHP in 2013. This fast pyrolysis technology-based </w:t>
      </w:r>
      <w:r>
        <w:t>bio-oil plant is first of its kind in the world on an industrial scale. Fortum Otso bio-oil is produced from wood-based raw materials like forest residues, wood chips and sawdust. Bio-oil can replace heavy or light fuel oil at heat plants or steam producti</w:t>
      </w:r>
      <w:r>
        <w:t>on.</w:t>
      </w:r>
    </w:p>
  </w:footnote>
  <w:footnote w:id="138">
    <w:p w:rsidR="006E1BDE" w:rsidRDefault="00244DD3">
      <w:pPr>
        <w:pStyle w:val="FootnoteText"/>
        <w:jc w:val="left"/>
      </w:pPr>
      <w:r>
        <w:rPr>
          <w:rStyle w:val="FootnoteReference"/>
        </w:rPr>
        <w:footnoteRef/>
      </w:r>
      <w:r>
        <w:t xml:space="preserve"> </w:t>
      </w:r>
      <w:r>
        <w:tab/>
        <w:t xml:space="preserve">See </w:t>
      </w:r>
      <w:hyperlink r:id="rId90" w:history="1">
        <w:r>
          <w:rPr>
            <w:rStyle w:val="Hyperlink"/>
          </w:rPr>
          <w:t>https://www.btg-btl.com/en/company/projects/empyro</w:t>
        </w:r>
      </w:hyperlink>
      <w:r>
        <w:t>; In January 2014 Empyro BV started the construction of its pyrolysis oil production facility in Hengelo, the Netherlands. Start</w:t>
      </w:r>
      <w:r>
        <w:t>-up of the installation has commenced early 2015.</w:t>
      </w:r>
    </w:p>
  </w:footnote>
  <w:footnote w:id="139">
    <w:p w:rsidR="006E1BDE" w:rsidRDefault="00244DD3">
      <w:pPr>
        <w:pStyle w:val="FootnoteText"/>
        <w:jc w:val="left"/>
      </w:pPr>
      <w:r>
        <w:rPr>
          <w:rStyle w:val="FootnoteReference"/>
        </w:rPr>
        <w:footnoteRef/>
      </w:r>
      <w:r>
        <w:t xml:space="preserve"> </w:t>
      </w:r>
      <w:r>
        <w:tab/>
        <w:t xml:space="preserve">See </w:t>
      </w:r>
      <w:hyperlink r:id="rId91" w:history="1">
        <w:r>
          <w:rPr>
            <w:rStyle w:val="Hyperlink"/>
          </w:rPr>
          <w:t>http://www.btgworld.com/en/news/article?id=105</w:t>
        </w:r>
      </w:hyperlink>
      <w:r>
        <w:t xml:space="preserve">. </w:t>
      </w:r>
    </w:p>
  </w:footnote>
  <w:footnote w:id="140">
    <w:p w:rsidR="006E1BDE" w:rsidRDefault="00244DD3">
      <w:pPr>
        <w:pStyle w:val="FootnoteText"/>
        <w:jc w:val="left"/>
      </w:pPr>
      <w:r>
        <w:rPr>
          <w:rStyle w:val="FootnoteReference"/>
        </w:rPr>
        <w:footnoteRef/>
      </w:r>
      <w:r>
        <w:t xml:space="preserve"> </w:t>
      </w:r>
      <w:r>
        <w:tab/>
        <w:t xml:space="preserve">See </w:t>
      </w:r>
      <w:hyperlink r:id="rId92" w:history="1">
        <w:r>
          <w:rPr>
            <w:rStyle w:val="Hyperlink"/>
          </w:rPr>
          <w:t>https://www.cricatalyst.com/</w:t>
        </w:r>
      </w:hyperlink>
      <w:r>
        <w:t xml:space="preserve">. </w:t>
      </w:r>
    </w:p>
  </w:footnote>
  <w:footnote w:id="141">
    <w:p w:rsidR="006E1BDE" w:rsidRDefault="00244DD3">
      <w:pPr>
        <w:pStyle w:val="FootnoteText"/>
        <w:jc w:val="left"/>
      </w:pPr>
      <w:r>
        <w:rPr>
          <w:rStyle w:val="FootnoteReference"/>
        </w:rPr>
        <w:footnoteRef/>
      </w:r>
      <w:r>
        <w:t xml:space="preserve"> </w:t>
      </w:r>
      <w:r>
        <w:tab/>
        <w:t>C</w:t>
      </w:r>
      <w:r>
        <w:t>RI Brochure on IH2 technology – Renew, Refine &amp; Refuel.</w:t>
      </w:r>
    </w:p>
  </w:footnote>
  <w:footnote w:id="142">
    <w:p w:rsidR="006E1BDE" w:rsidRDefault="00244DD3">
      <w:pPr>
        <w:pStyle w:val="FootnoteText"/>
        <w:jc w:val="left"/>
      </w:pPr>
      <w:r>
        <w:rPr>
          <w:rStyle w:val="FootnoteReference"/>
        </w:rPr>
        <w:footnoteRef/>
      </w:r>
      <w:r>
        <w:t xml:space="preserve"> </w:t>
      </w:r>
      <w:r>
        <w:tab/>
        <w:t>Laxmi Narasimhan, IH2 Advocacy Lead, "Drop in fuels", EU-India conference on Advanced Biofuels, New  Delhi, 6-8 March 2018.</w:t>
      </w:r>
    </w:p>
  </w:footnote>
  <w:footnote w:id="143">
    <w:p w:rsidR="006E1BDE" w:rsidRDefault="00244DD3">
      <w:pPr>
        <w:pStyle w:val="FootnoteText"/>
      </w:pPr>
      <w:r>
        <w:rPr>
          <w:rStyle w:val="FootnoteReference"/>
        </w:rPr>
        <w:footnoteRef/>
      </w:r>
      <w:r>
        <w:t xml:space="preserve"> </w:t>
      </w:r>
      <w:r>
        <w:tab/>
        <w:t xml:space="preserve">See </w:t>
      </w:r>
      <w:hyperlink r:id="rId93" w:history="1">
        <w:r>
          <w:rPr>
            <w:rStyle w:val="Hyperlink"/>
          </w:rPr>
          <w:t>https://www.neste.com/</w:t>
        </w:r>
      </w:hyperlink>
    </w:p>
  </w:footnote>
  <w:footnote w:id="144">
    <w:p w:rsidR="006E1BDE" w:rsidRDefault="00244DD3">
      <w:pPr>
        <w:pStyle w:val="FootnoteText"/>
        <w:jc w:val="left"/>
      </w:pPr>
      <w:r>
        <w:rPr>
          <w:rStyle w:val="FootnoteReference"/>
        </w:rPr>
        <w:footnoteRef/>
      </w:r>
      <w:r>
        <w:t xml:space="preserve"> </w:t>
      </w:r>
      <w:r>
        <w:tab/>
        <w:t>S</w:t>
      </w:r>
      <w:r>
        <w:t xml:space="preserve">ee </w:t>
      </w:r>
      <w:hyperlink r:id="rId94" w:history="1">
        <w:r>
          <w:rPr>
            <w:rStyle w:val="Hyperlink"/>
          </w:rPr>
          <w:t>https://www.neste.com/en/companies/products/renewable-fuels</w:t>
        </w:r>
      </w:hyperlink>
      <w:r>
        <w:t xml:space="preserve">. </w:t>
      </w:r>
    </w:p>
  </w:footnote>
  <w:footnote w:id="145">
    <w:p w:rsidR="006E1BDE" w:rsidRDefault="00244DD3">
      <w:pPr>
        <w:pStyle w:val="FootnoteText"/>
        <w:jc w:val="left"/>
      </w:pPr>
      <w:r>
        <w:rPr>
          <w:rStyle w:val="FootnoteReference"/>
        </w:rPr>
        <w:footnoteRef/>
      </w:r>
      <w:r>
        <w:t xml:space="preserve"> </w:t>
      </w:r>
      <w:r>
        <w:tab/>
        <w:t xml:space="preserve">See </w:t>
      </w:r>
      <w:hyperlink r:id="rId95" w:history="1">
        <w:r>
          <w:rPr>
            <w:rStyle w:val="Hyperlink"/>
          </w:rPr>
          <w:t>https://www</w:t>
        </w:r>
        <w:r>
          <w:rPr>
            <w:rStyle w:val="Hyperlink"/>
          </w:rPr>
          <w:t>.eni.com/en_IT/innovation/technological-platforms/green-refinery.page</w:t>
        </w:r>
      </w:hyperlink>
      <w:r>
        <w:t xml:space="preserve">. </w:t>
      </w:r>
    </w:p>
  </w:footnote>
  <w:footnote w:id="146">
    <w:p w:rsidR="006E1BDE" w:rsidRDefault="00244DD3">
      <w:pPr>
        <w:pStyle w:val="FootnoteText"/>
        <w:jc w:val="left"/>
      </w:pPr>
      <w:r>
        <w:rPr>
          <w:rStyle w:val="FootnoteReference"/>
        </w:rPr>
        <w:footnoteRef/>
      </w:r>
      <w:r>
        <w:t xml:space="preserve"> </w:t>
      </w:r>
      <w:r>
        <w:tab/>
        <w:t xml:space="preserve">See </w:t>
      </w:r>
      <w:hyperlink r:id="rId96" w:history="1">
        <w:r>
          <w:rPr>
            <w:rStyle w:val="Hyperlink"/>
          </w:rPr>
          <w:t>https://www.uop.com/processing-solutions/renewables/green-diesel/</w:t>
        </w:r>
      </w:hyperlink>
      <w:r>
        <w:t xml:space="preserve">. </w:t>
      </w:r>
    </w:p>
  </w:footnote>
  <w:footnote w:id="147">
    <w:p w:rsidR="006E1BDE" w:rsidRDefault="00244DD3">
      <w:pPr>
        <w:pStyle w:val="FootnoteText"/>
        <w:jc w:val="left"/>
      </w:pPr>
      <w:r>
        <w:rPr>
          <w:rStyle w:val="FootnoteReference"/>
        </w:rPr>
        <w:footnoteRef/>
      </w:r>
      <w:r>
        <w:tab/>
        <w:t xml:space="preserve">See </w:t>
      </w:r>
      <w:hyperlink r:id="rId97" w:history="1">
        <w:r>
          <w:rPr>
            <w:rStyle w:val="Hyperlink"/>
          </w:rPr>
          <w:t>http://www.upmbiofuels.com/upm-biofuels/biorefinery/Pages/Default.aspx</w:t>
        </w:r>
      </w:hyperlink>
      <w:r>
        <w:t xml:space="preserve">. </w:t>
      </w:r>
    </w:p>
  </w:footnote>
  <w:footnote w:id="148">
    <w:p w:rsidR="006E1BDE" w:rsidRDefault="00244DD3">
      <w:pPr>
        <w:pStyle w:val="FootnoteText"/>
        <w:jc w:val="left"/>
      </w:pPr>
      <w:r>
        <w:rPr>
          <w:rStyle w:val="FootnoteReference"/>
        </w:rPr>
        <w:footnoteRef/>
      </w:r>
      <w:r>
        <w:t xml:space="preserve"> </w:t>
      </w:r>
      <w:r>
        <w:tab/>
        <w:t xml:space="preserve">See </w:t>
      </w:r>
      <w:hyperlink r:id="rId98" w:history="1">
        <w:r>
          <w:rPr>
            <w:rStyle w:val="Hyperlink"/>
          </w:rPr>
          <w:t>https://blog.topsoe.com/2015/03/wood-based-renewable-diesel-bio-refinery-goes-stream-finland</w:t>
        </w:r>
      </w:hyperlink>
      <w:r>
        <w:t xml:space="preserve">. </w:t>
      </w:r>
    </w:p>
  </w:footnote>
  <w:footnote w:id="149">
    <w:p w:rsidR="006E1BDE" w:rsidRDefault="00244DD3">
      <w:pPr>
        <w:pStyle w:val="FootnoteText"/>
        <w:jc w:val="left"/>
      </w:pPr>
      <w:r>
        <w:rPr>
          <w:rStyle w:val="FootnoteReference"/>
        </w:rPr>
        <w:footnoteRef/>
      </w:r>
      <w:r>
        <w:t xml:space="preserve"> </w:t>
      </w:r>
      <w:r>
        <w:tab/>
        <w:t xml:space="preserve">See </w:t>
      </w:r>
      <w:hyperlink r:id="rId99" w:history="1">
        <w:r>
          <w:rPr>
            <w:rStyle w:val="Hyperlink"/>
          </w:rPr>
          <w:t>https://www.total.com/sites/def</w:t>
        </w:r>
        <w:r>
          <w:rPr>
            <w:rStyle w:val="Hyperlink"/>
          </w:rPr>
          <w:t>ault/files/atoms/files/annexes-plan-raffinage-mede-en.pdf</w:t>
        </w:r>
      </w:hyperlink>
      <w:r>
        <w:t xml:space="preserve">. </w:t>
      </w:r>
    </w:p>
  </w:footnote>
  <w:footnote w:id="150">
    <w:p w:rsidR="006E1BDE" w:rsidRDefault="00244DD3">
      <w:pPr>
        <w:pStyle w:val="FootnoteText"/>
        <w:jc w:val="left"/>
      </w:pPr>
      <w:r>
        <w:rPr>
          <w:rStyle w:val="FootnoteReference"/>
        </w:rPr>
        <w:footnoteRef/>
      </w:r>
      <w:r>
        <w:t xml:space="preserve"> </w:t>
      </w:r>
      <w:r>
        <w:tab/>
        <w:t xml:space="preserve">See </w:t>
      </w:r>
      <w:hyperlink r:id="rId100" w:history="1">
        <w:r>
          <w:rPr>
            <w:rStyle w:val="Hyperlink"/>
          </w:rPr>
          <w:t>https://www.axens.net/our-offer/by-market/oil-refining/top-of-the-barre</w:t>
        </w:r>
        <w:r>
          <w:rPr>
            <w:rStyle w:val="Hyperlink"/>
          </w:rPr>
          <w:t>l/33/diesel-hydrotreating.html</w:t>
        </w:r>
      </w:hyperlink>
      <w:r>
        <w:t xml:space="preserve">. </w:t>
      </w:r>
    </w:p>
  </w:footnote>
  <w:footnote w:id="151">
    <w:p w:rsidR="006E1BDE" w:rsidRDefault="00244DD3">
      <w:pPr>
        <w:pStyle w:val="FootnoteText"/>
        <w:jc w:val="left"/>
      </w:pPr>
      <w:r>
        <w:rPr>
          <w:rStyle w:val="FootnoteReference"/>
        </w:rPr>
        <w:footnoteRef/>
      </w:r>
      <w:r>
        <w:t xml:space="preserve"> </w:t>
      </w:r>
      <w:r>
        <w:tab/>
        <w:t xml:space="preserve">See </w:t>
      </w:r>
      <w:hyperlink r:id="rId101" w:history="1">
        <w:r>
          <w:rPr>
            <w:rStyle w:val="Hyperlink"/>
          </w:rPr>
          <w:t>https://www.iocl.com/</w:t>
        </w:r>
      </w:hyperlink>
      <w:r>
        <w:t xml:space="preserve">. </w:t>
      </w:r>
    </w:p>
  </w:footnote>
  <w:footnote w:id="152">
    <w:p w:rsidR="006E1BDE" w:rsidRDefault="00244DD3">
      <w:pPr>
        <w:pStyle w:val="FootnoteText"/>
        <w:jc w:val="left"/>
      </w:pPr>
      <w:r>
        <w:rPr>
          <w:rStyle w:val="FootnoteReference"/>
        </w:rPr>
        <w:footnoteRef/>
      </w:r>
      <w:r>
        <w:t xml:space="preserve"> </w:t>
      </w:r>
      <w:r>
        <w:tab/>
        <w:t xml:space="preserve">See </w:t>
      </w:r>
      <w:hyperlink r:id="rId102" w:history="1">
        <w:r>
          <w:rPr>
            <w:rStyle w:val="Hyperlink"/>
          </w:rPr>
          <w:t>https://www.cpcl.co.in/ManaliRefinery</w:t>
        </w:r>
      </w:hyperlink>
      <w:r>
        <w:t>; The Manali Refinery has a capacity of 10.5 MMTPA and i</w:t>
      </w:r>
      <w:r>
        <w:t>s one of the most complex refineries in India with Fuel, Lube, Wax and Petrochemical feedstock production facilities. The main products of the Refinery are LPG, Motor Spirit, Superior Kerosene, Aviation Turbine Fuel, High Speed Diesel, Naphtha, etc.</w:t>
      </w:r>
    </w:p>
  </w:footnote>
  <w:footnote w:id="153">
    <w:p w:rsidR="006E1BDE" w:rsidRDefault="00244DD3">
      <w:pPr>
        <w:pStyle w:val="FootnoteText"/>
        <w:jc w:val="left"/>
      </w:pPr>
      <w:r>
        <w:rPr>
          <w:rStyle w:val="FootnoteReference"/>
        </w:rPr>
        <w:footnoteRef/>
      </w:r>
      <w:r>
        <w:t xml:space="preserve"> </w:t>
      </w:r>
      <w:r>
        <w:tab/>
        <w:t>See</w:t>
      </w:r>
      <w:r>
        <w:t xml:space="preserve"> </w:t>
      </w:r>
      <w:hyperlink r:id="rId103" w:history="1">
        <w:r>
          <w:rPr>
            <w:rStyle w:val="Hyperlink"/>
          </w:rPr>
          <w:t>https://www.cpcl.co.in/</w:t>
        </w:r>
      </w:hyperlink>
      <w:r>
        <w:t xml:space="preserve">. </w:t>
      </w:r>
    </w:p>
  </w:footnote>
  <w:footnote w:id="154">
    <w:p w:rsidR="006E1BDE" w:rsidRDefault="00244DD3">
      <w:pPr>
        <w:pStyle w:val="FootnoteText"/>
        <w:jc w:val="left"/>
      </w:pPr>
      <w:r>
        <w:rPr>
          <w:rStyle w:val="FootnoteReference"/>
        </w:rPr>
        <w:footnoteRef/>
      </w:r>
      <w:r>
        <w:t xml:space="preserve"> </w:t>
      </w:r>
      <w:r>
        <w:tab/>
      </w:r>
      <w:r>
        <w:rPr>
          <w:lang w:val="en-US"/>
        </w:rPr>
        <w:t xml:space="preserve">See Annex 1, ETIP Bioenergy Strategic Research and Innovation Agenda, 2016, </w:t>
      </w:r>
      <w:hyperlink r:id="rId104" w:history="1">
        <w:r>
          <w:rPr>
            <w:rStyle w:val="Hyperlink"/>
            <w:lang w:val="en-US"/>
          </w:rPr>
          <w:t>http://www.etipbioenergy.eu/images/EBTP-SRIA-2016.pdf</w:t>
        </w:r>
      </w:hyperlink>
      <w:r>
        <w:rPr>
          <w:lang w:val="en-US"/>
        </w:rPr>
        <w:t>.</w:t>
      </w:r>
    </w:p>
  </w:footnote>
  <w:footnote w:id="155">
    <w:p w:rsidR="006E1BDE" w:rsidRDefault="00244DD3">
      <w:pPr>
        <w:pStyle w:val="FootnoteText"/>
        <w:jc w:val="left"/>
      </w:pPr>
      <w:r>
        <w:rPr>
          <w:rStyle w:val="FootnoteReference"/>
        </w:rPr>
        <w:footnoteRef/>
      </w:r>
      <w:r>
        <w:t xml:space="preserve"> </w:t>
      </w:r>
      <w:r>
        <w:tab/>
        <w:t xml:space="preserve">See </w:t>
      </w:r>
      <w:hyperlink r:id="rId105" w:history="1">
        <w:r>
          <w:rPr>
            <w:rStyle w:val="Hyperlink"/>
          </w:rPr>
          <w:t>http://www.betarenewables.com/en</w:t>
        </w:r>
      </w:hyperlink>
      <w:r>
        <w:t xml:space="preserve">. </w:t>
      </w:r>
    </w:p>
  </w:footnote>
  <w:footnote w:id="156">
    <w:p w:rsidR="006E1BDE" w:rsidRDefault="00244DD3">
      <w:pPr>
        <w:pStyle w:val="FootnoteText"/>
        <w:jc w:val="left"/>
      </w:pPr>
      <w:r>
        <w:rPr>
          <w:rStyle w:val="FootnoteReference"/>
        </w:rPr>
        <w:footnoteRef/>
      </w:r>
      <w:r>
        <w:tab/>
        <w:t xml:space="preserve">See </w:t>
      </w:r>
      <w:hyperlink r:id="rId106" w:history="1">
        <w:r>
          <w:rPr>
            <w:rStyle w:val="Hyperlink"/>
          </w:rPr>
          <w:t>http://www.gruppomg.com/en</w:t>
        </w:r>
      </w:hyperlink>
      <w:r>
        <w:t xml:space="preserve">. </w:t>
      </w:r>
    </w:p>
  </w:footnote>
  <w:footnote w:id="157">
    <w:p w:rsidR="006E1BDE" w:rsidRDefault="00244DD3">
      <w:pPr>
        <w:pStyle w:val="FootnoteText"/>
        <w:jc w:val="left"/>
      </w:pPr>
      <w:r>
        <w:rPr>
          <w:rStyle w:val="FootnoteReference"/>
        </w:rPr>
        <w:footnoteRef/>
      </w:r>
      <w:r>
        <w:t xml:space="preserve"> </w:t>
      </w:r>
      <w:r>
        <w:tab/>
        <w:t xml:space="preserve">See </w:t>
      </w:r>
      <w:hyperlink r:id="rId107" w:history="1">
        <w:r>
          <w:rPr>
            <w:rStyle w:val="Hyperlink"/>
          </w:rPr>
          <w:t>http://www.betarenewables.com/en/proesa/what-is-it</w:t>
        </w:r>
      </w:hyperlink>
      <w:r>
        <w:t xml:space="preserve">. </w:t>
      </w:r>
    </w:p>
  </w:footnote>
  <w:footnote w:id="158">
    <w:p w:rsidR="006E1BDE" w:rsidRDefault="00244DD3">
      <w:pPr>
        <w:pStyle w:val="FootnoteText"/>
        <w:jc w:val="left"/>
      </w:pPr>
      <w:r>
        <w:rPr>
          <w:rStyle w:val="FootnoteReference"/>
        </w:rPr>
        <w:footnoteRef/>
      </w:r>
      <w:r>
        <w:t xml:space="preserve"> </w:t>
      </w:r>
      <w:r>
        <w:tab/>
        <w:t xml:space="preserve">See </w:t>
      </w:r>
      <w:hyperlink r:id="rId108" w:history="1">
        <w:r>
          <w:rPr>
            <w:rStyle w:val="Hyperlink"/>
          </w:rPr>
          <w:t>http://www.betarenewables.com/en/media-relations/news-detail/32</w:t>
        </w:r>
      </w:hyperlink>
      <w:r>
        <w:t xml:space="preserve">. </w:t>
      </w:r>
    </w:p>
  </w:footnote>
  <w:footnote w:id="159">
    <w:p w:rsidR="006E1BDE" w:rsidRDefault="00244DD3">
      <w:pPr>
        <w:pStyle w:val="FootnoteText"/>
        <w:jc w:val="left"/>
      </w:pPr>
      <w:r>
        <w:rPr>
          <w:rStyle w:val="FootnoteReference"/>
        </w:rPr>
        <w:footnoteRef/>
      </w:r>
      <w:r>
        <w:t xml:space="preserve"> </w:t>
      </w:r>
      <w:r>
        <w:tab/>
        <w:t xml:space="preserve">See </w:t>
      </w:r>
      <w:hyperlink r:id="rId109" w:history="1">
        <w:r>
          <w:rPr>
            <w:rStyle w:val="Hyperlink"/>
          </w:rPr>
          <w:t>http://www.cometha.eu/</w:t>
        </w:r>
      </w:hyperlink>
      <w:r>
        <w:t xml:space="preserve">. </w:t>
      </w:r>
    </w:p>
  </w:footnote>
  <w:footnote w:id="160">
    <w:p w:rsidR="006E1BDE" w:rsidRDefault="00244DD3">
      <w:pPr>
        <w:pStyle w:val="FootnoteText"/>
        <w:jc w:val="left"/>
      </w:pPr>
      <w:r>
        <w:rPr>
          <w:rStyle w:val="FootnoteReference"/>
        </w:rPr>
        <w:footnoteRef/>
      </w:r>
      <w:r>
        <w:t xml:space="preserve"> </w:t>
      </w:r>
      <w:r>
        <w:tab/>
        <w:t xml:space="preserve">See </w:t>
      </w:r>
      <w:hyperlink r:id="rId110" w:history="1">
        <w:r>
          <w:rPr>
            <w:rStyle w:val="Hyperlink"/>
          </w:rPr>
          <w:t>http://www.biorefly.eu/</w:t>
        </w:r>
      </w:hyperlink>
      <w:r>
        <w:t xml:space="preserve">. </w:t>
      </w:r>
    </w:p>
  </w:footnote>
  <w:footnote w:id="161">
    <w:p w:rsidR="006E1BDE" w:rsidRDefault="00244DD3">
      <w:pPr>
        <w:pStyle w:val="FootnoteText"/>
        <w:jc w:val="left"/>
      </w:pPr>
      <w:r>
        <w:rPr>
          <w:rStyle w:val="FootnoteReference"/>
        </w:rPr>
        <w:footnoteRef/>
      </w:r>
      <w:r>
        <w:t xml:space="preserve"> </w:t>
      </w:r>
      <w:r>
        <w:tab/>
        <w:t xml:space="preserve">See </w:t>
      </w:r>
      <w:hyperlink r:id="rId111" w:history="1">
        <w:r>
          <w:rPr>
            <w:rStyle w:val="Hyperlink"/>
          </w:rPr>
          <w:t>http://www.abengoabioenergy.com/web/en/acerca_d</w:t>
        </w:r>
        <w:r>
          <w:rPr>
            <w:rStyle w:val="Hyperlink"/>
          </w:rPr>
          <w:t>e/</w:t>
        </w:r>
      </w:hyperlink>
      <w:r>
        <w:t xml:space="preserve">. </w:t>
      </w:r>
    </w:p>
  </w:footnote>
  <w:footnote w:id="162">
    <w:p w:rsidR="006E1BDE" w:rsidRDefault="00244DD3">
      <w:pPr>
        <w:pStyle w:val="FootnoteText"/>
        <w:jc w:val="left"/>
      </w:pPr>
      <w:r>
        <w:rPr>
          <w:rStyle w:val="FootnoteReference"/>
        </w:rPr>
        <w:footnoteRef/>
      </w:r>
      <w:r>
        <w:t xml:space="preserve"> </w:t>
      </w:r>
      <w:r>
        <w:tab/>
        <w:t xml:space="preserve">See </w:t>
      </w:r>
      <w:hyperlink r:id="rId112" w:history="1">
        <w:r>
          <w:rPr>
            <w:rStyle w:val="Hyperlink"/>
          </w:rPr>
          <w:t>http://www.biofuelsdigest.com/bdigest/2013/07/01/abengoa-completes-waste-to-biofuels-demo-plant-in-spain/</w:t>
        </w:r>
      </w:hyperlink>
      <w:r>
        <w:t xml:space="preserve">. </w:t>
      </w:r>
    </w:p>
  </w:footnote>
  <w:footnote w:id="163">
    <w:p w:rsidR="006E1BDE" w:rsidRDefault="00244DD3">
      <w:pPr>
        <w:pStyle w:val="FootnoteText"/>
        <w:jc w:val="left"/>
      </w:pPr>
      <w:r>
        <w:rPr>
          <w:rStyle w:val="FootnoteReference"/>
        </w:rPr>
        <w:footnoteRef/>
      </w:r>
      <w:r>
        <w:tab/>
        <w:t xml:space="preserve">See </w:t>
      </w:r>
      <w:hyperlink r:id="rId113" w:history="1">
        <w:r>
          <w:rPr>
            <w:rStyle w:val="Hyperlink"/>
          </w:rPr>
          <w:t>http://www.abengoabioenergy.com/web/en/2g_hugoton_project/</w:t>
        </w:r>
      </w:hyperlink>
      <w:r>
        <w:t xml:space="preserve">. </w:t>
      </w:r>
    </w:p>
  </w:footnote>
  <w:footnote w:id="164">
    <w:p w:rsidR="006E1BDE" w:rsidRDefault="00244DD3">
      <w:pPr>
        <w:pStyle w:val="FootnoteText"/>
        <w:jc w:val="left"/>
      </w:pPr>
      <w:r>
        <w:rPr>
          <w:rStyle w:val="FootnoteReference"/>
        </w:rPr>
        <w:footnoteRef/>
      </w:r>
      <w:r>
        <w:t xml:space="preserve"> </w:t>
      </w:r>
      <w:r>
        <w:tab/>
        <w:t xml:space="preserve">See </w:t>
      </w:r>
      <w:hyperlink r:id="rId114" w:history="1">
        <w:r>
          <w:rPr>
            <w:rStyle w:val="Hyperlink"/>
          </w:rPr>
          <w:t>http://www.biofuelsdigest.com/bdigest/2016/07/18/abengoas-hugoton-cellulosic-ethanol-project-goes-on-the-block/</w:t>
        </w:r>
      </w:hyperlink>
      <w:r>
        <w:t xml:space="preserve">. </w:t>
      </w:r>
    </w:p>
  </w:footnote>
  <w:footnote w:id="165">
    <w:p w:rsidR="006E1BDE" w:rsidRDefault="00244DD3">
      <w:pPr>
        <w:pStyle w:val="FootnoteText"/>
        <w:jc w:val="left"/>
      </w:pPr>
      <w:r>
        <w:rPr>
          <w:rStyle w:val="FootnoteReference"/>
        </w:rPr>
        <w:footnoteRef/>
      </w:r>
      <w:r>
        <w:t xml:space="preserve"> </w:t>
      </w:r>
      <w:r>
        <w:tab/>
        <w:t xml:space="preserve">See </w:t>
      </w:r>
      <w:hyperlink r:id="rId115" w:history="1">
        <w:r>
          <w:rPr>
            <w:rStyle w:val="Hyperlink"/>
          </w:rPr>
          <w:t>http://www.hpj.com/ag_news/hugoton-cellulosic-ethanol-plant-sold-out-of-bankruptcy/article_ae8fb952-c85f-11e6-87dc-0b12cf1982e3.html</w:t>
        </w:r>
      </w:hyperlink>
      <w:r>
        <w:t xml:space="preserve">. </w:t>
      </w:r>
    </w:p>
  </w:footnote>
  <w:footnote w:id="166">
    <w:p w:rsidR="006E1BDE" w:rsidRDefault="00244DD3">
      <w:pPr>
        <w:pStyle w:val="FootnoteText"/>
        <w:jc w:val="left"/>
      </w:pPr>
      <w:r>
        <w:rPr>
          <w:rStyle w:val="FootnoteReference"/>
        </w:rPr>
        <w:footnoteRef/>
      </w:r>
      <w:r>
        <w:t xml:space="preserve"> </w:t>
      </w:r>
      <w:r>
        <w:tab/>
        <w:t xml:space="preserve">See </w:t>
      </w:r>
      <w:hyperlink r:id="rId116" w:history="1">
        <w:r>
          <w:rPr>
            <w:rStyle w:val="Hyperlink"/>
          </w:rPr>
          <w:t>http://poet-dsm.com/liberty</w:t>
        </w:r>
      </w:hyperlink>
      <w:r>
        <w:t xml:space="preserve">. </w:t>
      </w:r>
    </w:p>
  </w:footnote>
  <w:footnote w:id="167">
    <w:p w:rsidR="006E1BDE" w:rsidRDefault="00244DD3">
      <w:pPr>
        <w:pStyle w:val="FootnoteText"/>
        <w:jc w:val="left"/>
      </w:pPr>
      <w:r>
        <w:rPr>
          <w:rStyle w:val="FootnoteReference"/>
        </w:rPr>
        <w:footnoteRef/>
      </w:r>
      <w:r>
        <w:t xml:space="preserve"> </w:t>
      </w:r>
      <w:r>
        <w:tab/>
        <w:t xml:space="preserve">See </w:t>
      </w:r>
      <w:hyperlink r:id="rId117" w:history="1">
        <w:r>
          <w:rPr>
            <w:rStyle w:val="Hyperlink"/>
          </w:rPr>
          <w:t>https://www.clariant.com/sunliquid</w:t>
        </w:r>
      </w:hyperlink>
      <w:r>
        <w:t xml:space="preserve">. </w:t>
      </w:r>
    </w:p>
  </w:footnote>
  <w:footnote w:id="168">
    <w:p w:rsidR="006E1BDE" w:rsidRDefault="00244DD3">
      <w:pPr>
        <w:pStyle w:val="FootnoteText"/>
        <w:jc w:val="left"/>
      </w:pPr>
      <w:r>
        <w:rPr>
          <w:rStyle w:val="FootnoteReference"/>
        </w:rPr>
        <w:footnoteRef/>
      </w:r>
      <w:r>
        <w:t xml:space="preserve"> </w:t>
      </w:r>
      <w:r>
        <w:tab/>
        <w:t xml:space="preserve">See </w:t>
      </w:r>
      <w:hyperlink r:id="rId118" w:history="1">
        <w:r>
          <w:rPr>
            <w:rStyle w:val="Hyperlink"/>
          </w:rPr>
          <w:t>https://www.enviengroup.eu/en/</w:t>
        </w:r>
      </w:hyperlink>
      <w:r>
        <w:t xml:space="preserve">. </w:t>
      </w:r>
    </w:p>
  </w:footnote>
  <w:footnote w:id="169">
    <w:p w:rsidR="006E1BDE" w:rsidRDefault="00244DD3">
      <w:pPr>
        <w:pStyle w:val="FootnoteText"/>
        <w:jc w:val="left"/>
      </w:pPr>
      <w:r>
        <w:rPr>
          <w:rStyle w:val="FootnoteReference"/>
        </w:rPr>
        <w:footnoteRef/>
      </w:r>
      <w:r>
        <w:t xml:space="preserve"> </w:t>
      </w:r>
      <w:r>
        <w:tab/>
        <w:t xml:space="preserve">See </w:t>
      </w:r>
      <w:hyperlink r:id="rId119" w:history="1">
        <w:r>
          <w:rPr>
            <w:rStyle w:val="Hyperlink"/>
          </w:rPr>
          <w:t>https://www.borregaard.com</w:t>
        </w:r>
      </w:hyperlink>
      <w:r>
        <w:t xml:space="preserve">. </w:t>
      </w:r>
    </w:p>
  </w:footnote>
  <w:footnote w:id="170">
    <w:p w:rsidR="006E1BDE" w:rsidRDefault="00244DD3">
      <w:pPr>
        <w:pStyle w:val="FootnoteText"/>
        <w:jc w:val="left"/>
      </w:pPr>
      <w:r>
        <w:rPr>
          <w:rStyle w:val="FootnoteReference"/>
        </w:rPr>
        <w:footnoteRef/>
      </w:r>
      <w:r>
        <w:tab/>
        <w:t xml:space="preserve">See </w:t>
      </w:r>
      <w:hyperlink r:id="rId120" w:history="1">
        <w:r>
          <w:rPr>
            <w:rStyle w:val="Hyperlink"/>
          </w:rPr>
          <w:t>http://www.inbicon.com/en/global-solutions/danish-projects</w:t>
        </w:r>
      </w:hyperlink>
      <w:r>
        <w:t xml:space="preserve">. </w:t>
      </w:r>
    </w:p>
  </w:footnote>
  <w:footnote w:id="171">
    <w:p w:rsidR="006E1BDE" w:rsidRDefault="00244DD3">
      <w:pPr>
        <w:pStyle w:val="FootnoteText"/>
        <w:jc w:val="left"/>
      </w:pPr>
      <w:r>
        <w:rPr>
          <w:rStyle w:val="FootnoteReference"/>
        </w:rPr>
        <w:footnoteRef/>
      </w:r>
      <w:r>
        <w:t xml:space="preserve"> </w:t>
      </w:r>
      <w:r>
        <w:tab/>
        <w:t>As of 6 November 2017, Dong Energy (the Danish Utility) changed its name to Ørsted, after Danish scientist Hans Christi</w:t>
      </w:r>
      <w:r>
        <w:t xml:space="preserve">an Ørsted. See </w:t>
      </w:r>
      <w:hyperlink r:id="rId121" w:history="1">
        <w:r>
          <w:rPr>
            <w:rStyle w:val="Hyperlink"/>
          </w:rPr>
          <w:t>https://orsted.com/en/About-us</w:t>
        </w:r>
      </w:hyperlink>
      <w:r>
        <w:t xml:space="preserve">. </w:t>
      </w:r>
    </w:p>
  </w:footnote>
  <w:footnote w:id="172">
    <w:p w:rsidR="006E1BDE" w:rsidRDefault="00244DD3">
      <w:pPr>
        <w:pStyle w:val="FootnoteText"/>
        <w:jc w:val="left"/>
      </w:pPr>
      <w:r>
        <w:rPr>
          <w:rStyle w:val="FootnoteReference"/>
        </w:rPr>
        <w:footnoteRef/>
      </w:r>
      <w:r>
        <w:t xml:space="preserve"> </w:t>
      </w:r>
      <w:r>
        <w:tab/>
        <w:t xml:space="preserve">See </w:t>
      </w:r>
      <w:hyperlink r:id="rId122" w:history="1">
        <w:r>
          <w:rPr>
            <w:rStyle w:val="Hyperlink"/>
          </w:rPr>
          <w:t>http://www.st1.eu/</w:t>
        </w:r>
      </w:hyperlink>
      <w:r>
        <w:t xml:space="preserve">. </w:t>
      </w:r>
    </w:p>
  </w:footnote>
  <w:footnote w:id="173">
    <w:p w:rsidR="006E1BDE" w:rsidRDefault="00244DD3">
      <w:pPr>
        <w:pStyle w:val="FootnoteText"/>
        <w:jc w:val="left"/>
      </w:pPr>
      <w:r>
        <w:rPr>
          <w:rStyle w:val="FootnoteReference"/>
        </w:rPr>
        <w:footnoteRef/>
      </w:r>
      <w:r>
        <w:t xml:space="preserve"> </w:t>
      </w:r>
      <w:r>
        <w:tab/>
        <w:t xml:space="preserve">See </w:t>
      </w:r>
      <w:hyperlink r:id="rId123" w:history="1">
        <w:r>
          <w:rPr>
            <w:rStyle w:val="Hyperlink"/>
          </w:rPr>
          <w:t>http://www.neot.fi/</w:t>
        </w:r>
      </w:hyperlink>
      <w:r>
        <w:t xml:space="preserve">. </w:t>
      </w:r>
    </w:p>
  </w:footnote>
  <w:footnote w:id="174">
    <w:p w:rsidR="006E1BDE" w:rsidRDefault="00244DD3">
      <w:pPr>
        <w:pStyle w:val="FootnoteText"/>
        <w:jc w:val="left"/>
      </w:pPr>
      <w:r>
        <w:rPr>
          <w:rStyle w:val="FootnoteReference"/>
        </w:rPr>
        <w:footnoteRef/>
      </w:r>
      <w:r>
        <w:tab/>
        <w:t xml:space="preserve">See </w:t>
      </w:r>
      <w:hyperlink r:id="rId124" w:history="1">
        <w:r>
          <w:rPr>
            <w:rStyle w:val="Hyperlink"/>
          </w:rPr>
          <w:t>http://www.st1biofuels.com/company/news/st1s-and-soks-joint-venture-neb-plans-50-million-litre-cellunolix-bioethanol-pla</w:t>
        </w:r>
      </w:hyperlink>
      <w:r>
        <w:t xml:space="preserve">. </w:t>
      </w:r>
    </w:p>
  </w:footnote>
  <w:footnote w:id="175">
    <w:p w:rsidR="006E1BDE" w:rsidRDefault="00244DD3">
      <w:pPr>
        <w:pStyle w:val="FootnoteText"/>
        <w:jc w:val="left"/>
      </w:pPr>
      <w:r>
        <w:rPr>
          <w:rStyle w:val="FootnoteReference"/>
        </w:rPr>
        <w:footnoteRef/>
      </w:r>
      <w:r>
        <w:t xml:space="preserve"> </w:t>
      </w:r>
      <w:r>
        <w:tab/>
        <w:t xml:space="preserve">See </w:t>
      </w:r>
      <w:hyperlink r:id="rId125" w:history="1">
        <w:r>
          <w:rPr>
            <w:rStyle w:val="Hyperlink"/>
          </w:rPr>
          <w:t>http://www.ifpenergiesnouvelles.com/Research-themes/New-energies/Biofuel-production</w:t>
        </w:r>
      </w:hyperlink>
      <w:r>
        <w:t xml:space="preserve">. </w:t>
      </w:r>
    </w:p>
  </w:footnote>
  <w:footnote w:id="176">
    <w:p w:rsidR="006E1BDE" w:rsidRDefault="00244DD3">
      <w:pPr>
        <w:pStyle w:val="FootnoteText"/>
        <w:jc w:val="left"/>
      </w:pPr>
      <w:r>
        <w:rPr>
          <w:rStyle w:val="FootnoteReference"/>
        </w:rPr>
        <w:footnoteRef/>
      </w:r>
      <w:r>
        <w:t xml:space="preserve"> </w:t>
      </w:r>
      <w:r>
        <w:tab/>
        <w:t xml:space="preserve">See </w:t>
      </w:r>
      <w:hyperlink r:id="rId126" w:history="1">
        <w:r>
          <w:rPr>
            <w:rStyle w:val="Hyperlink"/>
          </w:rPr>
          <w:t>https://www.projetfuturol.com/</w:t>
        </w:r>
      </w:hyperlink>
      <w:r>
        <w:t xml:space="preserve">. </w:t>
      </w:r>
    </w:p>
  </w:footnote>
  <w:footnote w:id="177">
    <w:p w:rsidR="006E1BDE" w:rsidRDefault="00244DD3">
      <w:pPr>
        <w:pStyle w:val="FootnoteText"/>
        <w:jc w:val="left"/>
      </w:pPr>
      <w:r>
        <w:rPr>
          <w:rStyle w:val="FootnoteReference"/>
        </w:rPr>
        <w:footnoteRef/>
      </w:r>
      <w:r>
        <w:t xml:space="preserve"> </w:t>
      </w:r>
      <w:r>
        <w:tab/>
        <w:t xml:space="preserve">See </w:t>
      </w:r>
      <w:hyperlink r:id="rId127" w:history="1">
        <w:r>
          <w:rPr>
            <w:rStyle w:val="Hyperlink"/>
          </w:rPr>
          <w:t>https://tereos.com/en</w:t>
        </w:r>
      </w:hyperlink>
      <w:r>
        <w:t xml:space="preserve">. </w:t>
      </w:r>
    </w:p>
  </w:footnote>
  <w:footnote w:id="178">
    <w:p w:rsidR="006E1BDE" w:rsidRDefault="00244DD3">
      <w:pPr>
        <w:pStyle w:val="FootnoteText"/>
        <w:jc w:val="left"/>
      </w:pPr>
      <w:r>
        <w:rPr>
          <w:rStyle w:val="FootnoteReference"/>
        </w:rPr>
        <w:footnoteRef/>
      </w:r>
      <w:r>
        <w:t xml:space="preserve"> </w:t>
      </w:r>
      <w:r>
        <w:tab/>
        <w:t xml:space="preserve">See </w:t>
      </w:r>
      <w:hyperlink r:id="rId128" w:history="1">
        <w:r>
          <w:rPr>
            <w:rStyle w:val="Hyperlink"/>
          </w:rPr>
          <w:t>https://www.axens.net/</w:t>
        </w:r>
      </w:hyperlink>
      <w:r>
        <w:t xml:space="preserve">. </w:t>
      </w:r>
    </w:p>
  </w:footnote>
  <w:footnote w:id="179">
    <w:p w:rsidR="006E1BDE" w:rsidRDefault="00244DD3">
      <w:pPr>
        <w:pStyle w:val="FootnoteText"/>
        <w:jc w:val="left"/>
      </w:pPr>
      <w:r>
        <w:rPr>
          <w:rStyle w:val="FootnoteReference"/>
        </w:rPr>
        <w:footnoteRef/>
      </w:r>
      <w:r>
        <w:t xml:space="preserve"> </w:t>
      </w:r>
      <w:r>
        <w:tab/>
        <w:t xml:space="preserve">See </w:t>
      </w:r>
      <w:hyperlink r:id="rId129" w:history="1">
        <w:r>
          <w:rPr>
            <w:rStyle w:val="Hyperlink"/>
          </w:rPr>
          <w:t>https://www.praj.net</w:t>
        </w:r>
      </w:hyperlink>
      <w:r>
        <w:t xml:space="preserve">. </w:t>
      </w:r>
    </w:p>
  </w:footnote>
  <w:footnote w:id="180">
    <w:p w:rsidR="006E1BDE" w:rsidRDefault="00244DD3">
      <w:pPr>
        <w:pStyle w:val="FootnoteText"/>
        <w:jc w:val="left"/>
      </w:pPr>
      <w:r>
        <w:rPr>
          <w:rStyle w:val="FootnoteReference"/>
        </w:rPr>
        <w:footnoteRef/>
      </w:r>
      <w:r>
        <w:t xml:space="preserve"> </w:t>
      </w:r>
      <w:r>
        <w:tab/>
        <w:t xml:space="preserve">See </w:t>
      </w:r>
      <w:hyperlink r:id="rId130" w:history="1">
        <w:r>
          <w:rPr>
            <w:rStyle w:val="Hyperlink"/>
          </w:rPr>
          <w:t>http://www.indiaglycols.com/</w:t>
        </w:r>
      </w:hyperlink>
      <w:r>
        <w:t xml:space="preserve">. </w:t>
      </w:r>
    </w:p>
  </w:footnote>
  <w:footnote w:id="181">
    <w:p w:rsidR="006E1BDE" w:rsidRDefault="00244DD3">
      <w:pPr>
        <w:pStyle w:val="FootnoteText"/>
        <w:jc w:val="left"/>
      </w:pPr>
      <w:r>
        <w:rPr>
          <w:rStyle w:val="FootnoteReference"/>
        </w:rPr>
        <w:footnoteRef/>
      </w:r>
      <w:r>
        <w:t xml:space="preserve"> </w:t>
      </w:r>
      <w:r>
        <w:tab/>
        <w:t xml:space="preserve">See </w:t>
      </w:r>
      <w:hyperlink r:id="rId131" w:history="1">
        <w:r>
          <w:rPr>
            <w:rStyle w:val="Hyperlink"/>
          </w:rPr>
          <w:t>http://www.fipi.org.in/attachments/11_May_16/Session%20IV/2_SR%20SONI.pdf</w:t>
        </w:r>
      </w:hyperlink>
      <w:r>
        <w:t xml:space="preserve">. </w:t>
      </w:r>
    </w:p>
  </w:footnote>
  <w:footnote w:id="182">
    <w:p w:rsidR="006E1BDE" w:rsidRDefault="00244DD3">
      <w:pPr>
        <w:pStyle w:val="FootnoteText"/>
        <w:jc w:val="left"/>
      </w:pPr>
      <w:r>
        <w:rPr>
          <w:rStyle w:val="FootnoteReference"/>
        </w:rPr>
        <w:footnoteRef/>
      </w:r>
      <w:r>
        <w:t xml:space="preserve"> </w:t>
      </w:r>
      <w:r>
        <w:tab/>
        <w:t xml:space="preserve">See </w:t>
      </w:r>
      <w:hyperlink r:id="rId132" w:history="1">
        <w:r>
          <w:rPr>
            <w:rStyle w:val="Hyperlink"/>
          </w:rPr>
          <w:t>https://vimeo.com/144843151</w:t>
        </w:r>
      </w:hyperlink>
      <w:r>
        <w:t xml:space="preserve">. </w:t>
      </w:r>
    </w:p>
  </w:footnote>
  <w:footnote w:id="183">
    <w:p w:rsidR="006E1BDE" w:rsidRDefault="00244DD3">
      <w:pPr>
        <w:pStyle w:val="FootnoteText"/>
        <w:jc w:val="left"/>
      </w:pPr>
      <w:r>
        <w:rPr>
          <w:rStyle w:val="FootnoteReference"/>
        </w:rPr>
        <w:footnoteRef/>
      </w:r>
      <w:r>
        <w:t xml:space="preserve"> </w:t>
      </w:r>
      <w:r>
        <w:tab/>
        <w:t xml:space="preserve">See </w:t>
      </w:r>
      <w:hyperlink r:id="rId133" w:history="1">
        <w:r>
          <w:rPr>
            <w:rStyle w:val="Hyperlink"/>
          </w:rPr>
          <w:t>http://www.biogest.at/</w:t>
        </w:r>
      </w:hyperlink>
      <w:r>
        <w:t xml:space="preserve">. </w:t>
      </w:r>
    </w:p>
  </w:footnote>
  <w:footnote w:id="184">
    <w:p w:rsidR="006E1BDE" w:rsidRDefault="00244DD3">
      <w:pPr>
        <w:pStyle w:val="FootnoteText"/>
        <w:jc w:val="left"/>
      </w:pPr>
      <w:r>
        <w:rPr>
          <w:rStyle w:val="FootnoteReference"/>
        </w:rPr>
        <w:footnoteRef/>
      </w:r>
      <w:r>
        <w:t xml:space="preserve"> </w:t>
      </w:r>
      <w:r>
        <w:tab/>
        <w:t xml:space="preserve">See </w:t>
      </w:r>
      <w:hyperlink r:id="rId134" w:history="1">
        <w:r>
          <w:rPr>
            <w:rStyle w:val="Hyperlink"/>
          </w:rPr>
          <w:t>http://verbio.com/verbio/?lang=en</w:t>
        </w:r>
      </w:hyperlink>
      <w:r>
        <w:t xml:space="preserve">. </w:t>
      </w:r>
    </w:p>
  </w:footnote>
  <w:footnote w:id="185">
    <w:p w:rsidR="006E1BDE" w:rsidRDefault="00244DD3">
      <w:pPr>
        <w:pStyle w:val="FootnoteText"/>
        <w:jc w:val="left"/>
      </w:pPr>
      <w:r>
        <w:rPr>
          <w:rStyle w:val="FootnoteReference"/>
        </w:rPr>
        <w:footnoteRef/>
      </w:r>
      <w:r>
        <w:t xml:space="preserve"> </w:t>
      </w:r>
      <w:r>
        <w:tab/>
      </w:r>
      <w:r>
        <w:t xml:space="preserve">Press Release, Directorate of Information &amp; Public Relations, Government of Punjab, Chandigarh, January 15, 2018. See </w:t>
      </w:r>
      <w:hyperlink r:id="rId135" w:history="1">
        <w:r>
          <w:rPr>
            <w:rStyle w:val="Hyperlink"/>
          </w:rPr>
          <w:t>http://diprpunjab.gov.in/?q=c</w:t>
        </w:r>
        <w:r>
          <w:rPr>
            <w:rStyle w:val="Hyperlink"/>
          </w:rPr>
          <w:t>ontent/punjab-govt-signs-mou-ioc-setting-bio-gas-bio-cng-plants</w:t>
        </w:r>
      </w:hyperlink>
      <w:r>
        <w:t xml:space="preserve">. </w:t>
      </w:r>
    </w:p>
  </w:footnote>
  <w:footnote w:id="186">
    <w:p w:rsidR="006E1BDE" w:rsidRDefault="00244DD3">
      <w:pPr>
        <w:pStyle w:val="FootnoteText"/>
        <w:jc w:val="left"/>
      </w:pPr>
      <w:r>
        <w:rPr>
          <w:rStyle w:val="FootnoteReference"/>
        </w:rPr>
        <w:footnoteRef/>
      </w:r>
      <w:r>
        <w:t xml:space="preserve"> </w:t>
      </w:r>
      <w:r>
        <w:tab/>
        <w:t xml:space="preserve">Pune Municipal Corporation. See </w:t>
      </w:r>
      <w:hyperlink r:id="rId136" w:history="1">
        <w:r>
          <w:rPr>
            <w:rStyle w:val="Hyperlink"/>
          </w:rPr>
          <w:t>https://pmc.gov.in/en/noble-exchange</w:t>
        </w:r>
      </w:hyperlink>
      <w:r>
        <w:t xml:space="preserve">. </w:t>
      </w:r>
    </w:p>
  </w:footnote>
  <w:footnote w:id="187">
    <w:p w:rsidR="006E1BDE" w:rsidRDefault="00244DD3">
      <w:pPr>
        <w:pStyle w:val="FootnoteText"/>
        <w:jc w:val="left"/>
      </w:pPr>
      <w:r>
        <w:rPr>
          <w:rStyle w:val="FootnoteReference"/>
        </w:rPr>
        <w:footnoteRef/>
      </w:r>
      <w:r>
        <w:t xml:space="preserve"> </w:t>
      </w:r>
      <w:r>
        <w:tab/>
        <w:t xml:space="preserve">See </w:t>
      </w:r>
      <w:hyperlink r:id="rId137" w:history="1">
        <w:r>
          <w:rPr>
            <w:rStyle w:val="Hyperlink"/>
          </w:rPr>
          <w:t>http://www.ieabioenergy.com/wp-content/uploads/2017/02/IEA-Bioenergy-Algae-report-update-Final-template-20170131.pdf</w:t>
        </w:r>
      </w:hyperlink>
      <w:r>
        <w:t xml:space="preserve">. </w:t>
      </w:r>
    </w:p>
  </w:footnote>
  <w:footnote w:id="188">
    <w:p w:rsidR="006E1BDE" w:rsidRDefault="00244DD3">
      <w:pPr>
        <w:pStyle w:val="FootnoteText"/>
        <w:jc w:val="left"/>
      </w:pPr>
      <w:r>
        <w:rPr>
          <w:rStyle w:val="FootnoteReference"/>
        </w:rPr>
        <w:footnoteRef/>
      </w:r>
      <w:r>
        <w:t xml:space="preserve"> </w:t>
      </w:r>
      <w:r>
        <w:tab/>
        <w:t xml:space="preserve">See </w:t>
      </w:r>
      <w:hyperlink r:id="rId138" w:history="1">
        <w:r>
          <w:rPr>
            <w:rStyle w:val="Hyperlink"/>
          </w:rPr>
          <w:t>http://publications.jrc.ec.europa.eu/repository/bitstream/JRC98760/algae_biofuels_report_21122015.pdf</w:t>
        </w:r>
      </w:hyperlink>
      <w:r>
        <w:t xml:space="preserve">.  </w:t>
      </w:r>
    </w:p>
  </w:footnote>
  <w:footnote w:id="189">
    <w:p w:rsidR="006E1BDE" w:rsidRDefault="00244DD3">
      <w:pPr>
        <w:pStyle w:val="FootnoteText"/>
        <w:jc w:val="left"/>
      </w:pPr>
      <w:r>
        <w:rPr>
          <w:rStyle w:val="FootnoteReference"/>
        </w:rPr>
        <w:footnoteRef/>
      </w:r>
      <w:r>
        <w:t xml:space="preserve"> </w:t>
      </w:r>
      <w:r>
        <w:tab/>
        <w:t xml:space="preserve">See </w:t>
      </w:r>
      <w:hyperlink r:id="rId139" w:history="1">
        <w:r>
          <w:rPr>
            <w:rStyle w:val="Hyperlink"/>
          </w:rPr>
          <w:t>http://www.enalga</w:t>
        </w:r>
        <w:r>
          <w:rPr>
            <w:rStyle w:val="Hyperlink"/>
          </w:rPr>
          <w:t>e.eu/public-deliverables.htm</w:t>
        </w:r>
      </w:hyperlink>
      <w:r>
        <w:t xml:space="preserve">. </w:t>
      </w:r>
    </w:p>
  </w:footnote>
  <w:footnote w:id="190">
    <w:p w:rsidR="006E1BDE" w:rsidRDefault="00244DD3">
      <w:pPr>
        <w:pStyle w:val="FootnoteText"/>
        <w:jc w:val="left"/>
      </w:pPr>
      <w:r>
        <w:rPr>
          <w:rStyle w:val="FootnoteReference"/>
        </w:rPr>
        <w:footnoteRef/>
      </w:r>
      <w:r>
        <w:t xml:space="preserve"> </w:t>
      </w:r>
      <w:r>
        <w:tab/>
        <w:t xml:space="preserve">See </w:t>
      </w:r>
      <w:hyperlink r:id="rId140" w:history="1">
        <w:r>
          <w:rPr>
            <w:rStyle w:val="Hyperlink"/>
          </w:rPr>
          <w:t>https://ec.europa.eu/energy/sites/ener/files/documents/ENER_C2_2012_421_1.pdf</w:t>
        </w:r>
      </w:hyperlink>
      <w:r>
        <w:t xml:space="preserve">. </w:t>
      </w:r>
    </w:p>
  </w:footnote>
  <w:footnote w:id="191">
    <w:p w:rsidR="006E1BDE" w:rsidRDefault="00244DD3">
      <w:pPr>
        <w:pStyle w:val="FootnoteText"/>
      </w:pPr>
      <w:r>
        <w:rPr>
          <w:rStyle w:val="FootnoteReference"/>
        </w:rPr>
        <w:footnoteRef/>
      </w:r>
      <w:r>
        <w:t xml:space="preserve"> </w:t>
      </w:r>
      <w:r>
        <w:rPr>
          <w:lang w:val="en-US"/>
        </w:rPr>
        <w:tab/>
        <w:t>See http://www.fcc.es/en/water-presentati</w:t>
      </w:r>
      <w:r>
        <w:rPr>
          <w:lang w:val="en-US"/>
        </w:rPr>
        <w:t>on</w:t>
      </w:r>
    </w:p>
  </w:footnote>
  <w:footnote w:id="192">
    <w:p w:rsidR="006E1BDE" w:rsidRDefault="00244DD3">
      <w:pPr>
        <w:pStyle w:val="FootnoteText"/>
        <w:jc w:val="left"/>
      </w:pPr>
      <w:r>
        <w:rPr>
          <w:rStyle w:val="FootnoteReference"/>
        </w:rPr>
        <w:footnoteRef/>
      </w:r>
      <w:r>
        <w:t xml:space="preserve"> </w:t>
      </w:r>
      <w:r>
        <w:tab/>
        <w:t xml:space="preserve">See </w:t>
      </w:r>
      <w:hyperlink r:id="rId141" w:history="1">
        <w:r>
          <w:rPr>
            <w:rStyle w:val="Hyperlink"/>
          </w:rPr>
          <w:t>http://www.all-gas.eu/en/</w:t>
        </w:r>
      </w:hyperlink>
      <w:r>
        <w:t xml:space="preserve">. </w:t>
      </w:r>
    </w:p>
  </w:footnote>
  <w:footnote w:id="193">
    <w:p w:rsidR="006E1BDE" w:rsidRDefault="00244DD3">
      <w:pPr>
        <w:pStyle w:val="FootnoteText"/>
        <w:jc w:val="left"/>
      </w:pPr>
      <w:r>
        <w:rPr>
          <w:rStyle w:val="FootnoteReference"/>
        </w:rPr>
        <w:footnoteRef/>
      </w:r>
      <w:r>
        <w:t xml:space="preserve"> </w:t>
      </w:r>
      <w:r>
        <w:tab/>
        <w:t xml:space="preserve">See </w:t>
      </w:r>
      <w:hyperlink r:id="rId142" w:history="1">
        <w:r>
          <w:rPr>
            <w:rStyle w:val="Hyperlink"/>
          </w:rPr>
          <w:t>http://www.phycospectrum.in/industrial-projects</w:t>
        </w:r>
      </w:hyperlink>
      <w:r>
        <w:t xml:space="preserve">. </w:t>
      </w:r>
    </w:p>
  </w:footnote>
  <w:footnote w:id="194">
    <w:p w:rsidR="006E1BDE" w:rsidRDefault="00244DD3">
      <w:pPr>
        <w:pStyle w:val="FootnoteText"/>
        <w:jc w:val="left"/>
      </w:pPr>
      <w:r>
        <w:rPr>
          <w:rStyle w:val="FootnoteReference"/>
        </w:rPr>
        <w:footnoteRef/>
      </w:r>
      <w:r>
        <w:t xml:space="preserve"> </w:t>
      </w:r>
      <w:r>
        <w:tab/>
        <w:t xml:space="preserve">Under the Renewable Energy Directive “bioliquids” </w:t>
      </w:r>
      <w:r>
        <w:t>are those liquid fuels of biomass origin that are used in applications other than transport, for example when biodiesel is used in a boiler.</w:t>
      </w:r>
    </w:p>
  </w:footnote>
  <w:footnote w:id="195">
    <w:p w:rsidR="006E1BDE" w:rsidRDefault="00244DD3">
      <w:pPr>
        <w:pStyle w:val="FootnoteText"/>
        <w:jc w:val="left"/>
      </w:pPr>
      <w:r>
        <w:rPr>
          <w:rStyle w:val="FootnoteReference"/>
        </w:rPr>
        <w:footnoteRef/>
      </w:r>
      <w:r>
        <w:t xml:space="preserve"> </w:t>
      </w:r>
      <w:r>
        <w:tab/>
        <w:t xml:space="preserve">Power Sector at a Glance, Ministry of Power, Government of India.  See </w:t>
      </w:r>
      <w:hyperlink r:id="rId143" w:history="1">
        <w:r>
          <w:rPr>
            <w:rStyle w:val="Hyperlink"/>
          </w:rPr>
          <w:t>http://powermin.nic.in/en/content/power-sector-glance-all-india</w:t>
        </w:r>
      </w:hyperlink>
      <w:r>
        <w:t xml:space="preserve">. </w:t>
      </w:r>
    </w:p>
  </w:footnote>
  <w:footnote w:id="196">
    <w:p w:rsidR="006E1BDE" w:rsidRDefault="00244DD3">
      <w:pPr>
        <w:pStyle w:val="FootnoteText"/>
        <w:jc w:val="left"/>
      </w:pPr>
      <w:r>
        <w:rPr>
          <w:rStyle w:val="FootnoteReference"/>
        </w:rPr>
        <w:footnoteRef/>
      </w:r>
      <w:r>
        <w:t xml:space="preserve"> </w:t>
      </w:r>
      <w:r>
        <w:tab/>
        <w:t xml:space="preserve">India Energy Outlook, World Energy Outlook Special Report, 2015. </w:t>
      </w:r>
    </w:p>
  </w:footnote>
  <w:footnote w:id="197">
    <w:p w:rsidR="006E1BDE" w:rsidRDefault="00244DD3">
      <w:pPr>
        <w:pStyle w:val="FootnoteText"/>
        <w:jc w:val="left"/>
      </w:pPr>
      <w:r>
        <w:rPr>
          <w:rStyle w:val="FootnoteReference"/>
        </w:rPr>
        <w:footnoteRef/>
      </w:r>
      <w:r>
        <w:t xml:space="preserve"> </w:t>
      </w:r>
      <w:r>
        <w:tab/>
        <w:t>Draft National Energy Policy NITI Aayog, Government of India Version as on 27.0</w:t>
      </w:r>
      <w:r>
        <w:t>6.2017.</w:t>
      </w:r>
    </w:p>
  </w:footnote>
  <w:footnote w:id="198">
    <w:p w:rsidR="006E1BDE" w:rsidRDefault="00244DD3">
      <w:pPr>
        <w:pStyle w:val="FootnoteText"/>
      </w:pPr>
      <w:r>
        <w:rPr>
          <w:rStyle w:val="FootnoteReference"/>
        </w:rPr>
        <w:footnoteRef/>
      </w:r>
      <w:r>
        <w:t xml:space="preserve"> </w:t>
      </w:r>
      <w:r>
        <w:rPr>
          <w:lang w:val="en-US"/>
        </w:rPr>
        <w:tab/>
        <w:t>See http://www.lanzatech.com/.</w:t>
      </w:r>
    </w:p>
  </w:footnote>
  <w:footnote w:id="199">
    <w:p w:rsidR="006E1BDE" w:rsidRDefault="00244DD3">
      <w:pPr>
        <w:pStyle w:val="FootnoteText"/>
      </w:pPr>
      <w:r>
        <w:rPr>
          <w:rStyle w:val="FootnoteReference"/>
        </w:rPr>
        <w:footnoteRef/>
      </w:r>
      <w:r>
        <w:t xml:space="preserve"> </w:t>
      </w:r>
      <w:r>
        <w:rPr>
          <w:lang w:val="nl-BE"/>
        </w:rPr>
        <w:tab/>
        <w:t xml:space="preserve">See https://belgium.arcelormittal.com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E1BDE" w:rsidRDefault="00244DD3">
    <w:pPr>
      <w:pStyle w:val="Header"/>
      <w:rPr>
        <w:color w:val="808080" w:themeColor="background2" w:themeShade="80"/>
        <w:sz w:val="18"/>
        <w:szCs w:val="18"/>
      </w:rPr>
    </w:pPr>
    <w:sdt>
      <w:sdtPr>
        <w:rPr>
          <w:rFonts w:eastAsiaTheme="majorEastAsia" w:cstheme="majorBidi"/>
          <w:color w:val="808080" w:themeColor="background2" w:themeShade="80"/>
          <w:sz w:val="18"/>
          <w:szCs w:val="18"/>
        </w:rPr>
        <w:id w:val="2019894393"/>
        <w:text/>
      </w:sdtPr>
      <w:sdtEndPr/>
      <w:sdtContent>
        <w:r>
          <w:rPr>
            <w:rFonts w:eastAsiaTheme="majorEastAsia" w:cstheme="majorBidi"/>
            <w:color w:val="808080" w:themeColor="background2" w:themeShade="80"/>
            <w:sz w:val="18"/>
            <w:szCs w:val="18"/>
          </w:rPr>
          <w:t>Advance</w:t>
        </w:r>
        <w:r>
          <w:rPr>
            <w:rFonts w:eastAsiaTheme="majorEastAsia" w:cstheme="majorBidi"/>
            <w:color w:val="808080" w:themeColor="background2" w:themeShade="80"/>
            <w:sz w:val="18"/>
            <w:szCs w:val="18"/>
          </w:rPr>
          <w:t>d biofuels in India: A comparative analysis between India and the EU for cooperation and investment</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25pt;height:30pt" o:bullet="t">
        <v:imagedata r:id="rId1" o:title="newarrow"/>
      </v:shape>
    </w:pict>
  </w:numPicBullet>
  <w:abstractNum w:abstractNumId="0" w15:restartNumberingAfterBreak="0">
    <w:nsid w:val="FFFFFF88"/>
    <w:multiLevelType w:val="singleLevel"/>
    <w:tmpl w:val="E8242B00"/>
    <w:lvl w:ilvl="0">
      <w:start w:val="1"/>
      <w:numFmt w:val="decimal"/>
      <w:pStyle w:val="ListNumber"/>
      <w:lvlText w:val="%1."/>
      <w:lvlJc w:val="left"/>
      <w:pPr>
        <w:tabs>
          <w:tab w:val="num" w:pos="720"/>
        </w:tabs>
        <w:ind w:left="720" w:hanging="720"/>
      </w:pPr>
    </w:lvl>
  </w:abstractNum>
  <w:abstractNum w:abstractNumId="1" w15:restartNumberingAfterBreak="0">
    <w:nsid w:val="20FF1781"/>
    <w:multiLevelType w:val="hybridMultilevel"/>
    <w:tmpl w:val="D82CA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BBC7800"/>
    <w:multiLevelType w:val="hybridMultilevel"/>
    <w:tmpl w:val="44D64B98"/>
    <w:lvl w:ilvl="0" w:tplc="0409000F">
      <w:start w:val="1"/>
      <w:numFmt w:val="decimal"/>
      <w:lvlText w:val="%1."/>
      <w:lvlJc w:val="left"/>
      <w:pPr>
        <w:ind w:left="720" w:hanging="360"/>
      </w:pPr>
      <w:rPr>
        <w:rFonts w:hint="default"/>
        <w:b/>
        <w:color w:val="166CED" w:themeColor="accent1"/>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37EF13F3"/>
    <w:multiLevelType w:val="multilevel"/>
    <w:tmpl w:val="47D05FCA"/>
    <w:lvl w:ilvl="0">
      <w:start w:val="1"/>
      <w:numFmt w:val="bullet"/>
      <w:pStyle w:val="ListParagraph"/>
      <w:lvlText w:val=""/>
      <w:lvlPicBulletId w:val="0"/>
      <w:lvlJc w:val="left"/>
      <w:pPr>
        <w:ind w:left="576" w:hanging="216"/>
      </w:pPr>
      <w:rPr>
        <w:rFonts w:ascii="Symbol" w:hAnsi="Symbol" w:hint="default"/>
        <w:b/>
        <w:i w:val="0"/>
        <w:color w:val="auto"/>
        <w:sz w:val="28"/>
        <w:u w:color="993366"/>
      </w:rPr>
    </w:lvl>
    <w:lvl w:ilvl="1">
      <w:start w:val="1"/>
      <w:numFmt w:val="bullet"/>
      <w:lvlText w:val="▬"/>
      <w:lvlJc w:val="left"/>
      <w:pPr>
        <w:ind w:left="936" w:hanging="216"/>
      </w:pPr>
      <w:rPr>
        <w:rFonts w:ascii="Courier New" w:hAnsi="Courier New" w:hint="default"/>
        <w:color w:val="166CED" w:themeColor="accent1"/>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3CCF21D5"/>
    <w:multiLevelType w:val="hybridMultilevel"/>
    <w:tmpl w:val="3D041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E975750"/>
    <w:multiLevelType w:val="multilevel"/>
    <w:tmpl w:val="083AE408"/>
    <w:lvl w:ilvl="0">
      <w:start w:val="1"/>
      <w:numFmt w:val="bullet"/>
      <w:pStyle w:val="EXTableBullet"/>
      <w:lvlText w:val=""/>
      <w:lvlPicBulletId w:val="0"/>
      <w:lvlJc w:val="left"/>
      <w:pPr>
        <w:ind w:left="216" w:hanging="144"/>
      </w:pPr>
      <w:rPr>
        <w:rFonts w:ascii="Symbol" w:hAnsi="Symbol" w:hint="default"/>
        <w:color w:val="auto"/>
        <w:sz w:val="28"/>
        <w:u w:color="993366"/>
      </w:rPr>
    </w:lvl>
    <w:lvl w:ilvl="1">
      <w:start w:val="1"/>
      <w:numFmt w:val="bullet"/>
      <w:lvlText w:val="─"/>
      <w:lvlJc w:val="left"/>
      <w:pPr>
        <w:ind w:left="504" w:hanging="216"/>
      </w:pPr>
      <w:rPr>
        <w:rFonts w:ascii="Courier New" w:hAnsi="Courier New" w:hint="default"/>
        <w:color w:val="166CED" w:themeColor="accent1"/>
      </w:rPr>
    </w:lvl>
    <w:lvl w:ilvl="2">
      <w:start w:val="1"/>
      <w:numFmt w:val="bullet"/>
      <w:lvlText w:val="·"/>
      <w:lvlJc w:val="left"/>
      <w:pPr>
        <w:ind w:left="792" w:hanging="144"/>
      </w:pPr>
      <w:rPr>
        <w:rFonts w:ascii="Vrinda" w:hAnsi="Vrinda" w:hint="default"/>
        <w:color w:val="166CED" w:themeColor="accent1"/>
        <w:u w:color="166CED" w:themeColor="accent1"/>
        <w:vertAlign w:val="baseline"/>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427833FC"/>
    <w:multiLevelType w:val="hybridMultilevel"/>
    <w:tmpl w:val="44D64B98"/>
    <w:lvl w:ilvl="0" w:tplc="0409000F">
      <w:start w:val="1"/>
      <w:numFmt w:val="decimal"/>
      <w:lvlText w:val="%1."/>
      <w:lvlJc w:val="left"/>
      <w:pPr>
        <w:ind w:left="720" w:hanging="360"/>
      </w:pPr>
      <w:rPr>
        <w:rFonts w:hint="default"/>
        <w:b/>
        <w:color w:val="166CED" w:themeColor="accent1"/>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7" w15:restartNumberingAfterBreak="0">
    <w:nsid w:val="5DC8046F"/>
    <w:multiLevelType w:val="multilevel"/>
    <w:tmpl w:val="65421958"/>
    <w:lvl w:ilvl="0">
      <w:start w:val="1"/>
      <w:numFmt w:val="none"/>
      <w:pStyle w:val="Normal"/>
      <w:suff w:val="nothing"/>
      <w:lvlText w:val=""/>
      <w:lvlJc w:val="left"/>
      <w:pPr>
        <w:ind w:left="0" w:firstLine="0"/>
      </w:pPr>
      <w:rPr>
        <w:rFonts w:hint="default"/>
      </w:rPr>
    </w:lvl>
    <w:lvl w:ilvl="1">
      <w:start w:val="1"/>
      <w:numFmt w:val="decimal"/>
      <w:pStyle w:val="EXNumberedlist"/>
      <w:lvlText w:val="%2."/>
      <w:lvlJc w:val="left"/>
      <w:pPr>
        <w:ind w:left="648" w:hanging="288"/>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15:restartNumberingAfterBreak="0">
    <w:nsid w:val="5FB318F6"/>
    <w:multiLevelType w:val="hybridMultilevel"/>
    <w:tmpl w:val="44D64B98"/>
    <w:lvl w:ilvl="0" w:tplc="0409000F">
      <w:start w:val="1"/>
      <w:numFmt w:val="decimal"/>
      <w:lvlText w:val="%1."/>
      <w:lvlJc w:val="left"/>
      <w:pPr>
        <w:ind w:left="720" w:hanging="360"/>
      </w:pPr>
      <w:rPr>
        <w:rFonts w:hint="default"/>
        <w:b/>
        <w:color w:val="166CED" w:themeColor="accent1"/>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61DA2488"/>
    <w:multiLevelType w:val="hybridMultilevel"/>
    <w:tmpl w:val="B2E0C9C6"/>
    <w:lvl w:ilvl="0" w:tplc="08130009">
      <w:start w:val="1"/>
      <w:numFmt w:val="bullet"/>
      <w:lvlText w:val=""/>
      <w:lvlJc w:val="left"/>
      <w:pPr>
        <w:ind w:left="720" w:hanging="360"/>
      </w:pPr>
      <w:rPr>
        <w:rFonts w:ascii="Wingdings" w:hAnsi="Wingdings" w:hint="default"/>
      </w:rPr>
    </w:lvl>
    <w:lvl w:ilvl="1" w:tplc="5EBCB61E">
      <w:numFmt w:val="bullet"/>
      <w:lvlText w:val="•"/>
      <w:lvlJc w:val="left"/>
      <w:pPr>
        <w:ind w:left="1440" w:hanging="360"/>
      </w:pPr>
      <w:rPr>
        <w:rFonts w:ascii="Gotham-Book" w:eastAsiaTheme="minorHAnsi" w:hAnsi="Gotham-Book" w:cs="Gotham-Book"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622C10C1"/>
    <w:multiLevelType w:val="hybridMultilevel"/>
    <w:tmpl w:val="0A943D7C"/>
    <w:lvl w:ilvl="0" w:tplc="56102B3C">
      <w:start w:val="1"/>
      <w:numFmt w:val="decimal"/>
      <w:pStyle w:val="EXAnnex"/>
      <w:lvlText w:val="ANNEX %1:  "/>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1" w15:restartNumberingAfterBreak="0">
    <w:nsid w:val="62C15D69"/>
    <w:multiLevelType w:val="hybridMultilevel"/>
    <w:tmpl w:val="44D64B98"/>
    <w:lvl w:ilvl="0" w:tplc="0409000F">
      <w:start w:val="1"/>
      <w:numFmt w:val="decimal"/>
      <w:lvlText w:val="%1."/>
      <w:lvlJc w:val="left"/>
      <w:pPr>
        <w:ind w:left="720" w:hanging="360"/>
      </w:pPr>
      <w:rPr>
        <w:rFonts w:hint="default"/>
        <w:b/>
        <w:color w:val="166CED" w:themeColor="accent1"/>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6FD2168E"/>
    <w:multiLevelType w:val="multilevel"/>
    <w:tmpl w:val="9EB2C146"/>
    <w:lvl w:ilvl="0">
      <w:start w:val="1"/>
      <w:numFmt w:val="decimal"/>
      <w:pStyle w:val="Heading1"/>
      <w:lvlText w:val="%1 "/>
      <w:lvlJc w:val="left"/>
      <w:pPr>
        <w:ind w:left="720" w:hanging="720"/>
      </w:pPr>
      <w:rPr>
        <w:rFonts w:hint="default"/>
      </w:rPr>
    </w:lvl>
    <w:lvl w:ilvl="1">
      <w:start w:val="1"/>
      <w:numFmt w:val="decimal"/>
      <w:pStyle w:val="Heading2"/>
      <w:lvlText w:val="%1.%2 "/>
      <w:lvlJc w:val="left"/>
      <w:pPr>
        <w:ind w:left="432" w:hanging="432"/>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lvlText w:val="%1.%2.%3"/>
      <w:lvlJc w:val="left"/>
      <w:pPr>
        <w:ind w:left="288" w:hanging="288"/>
      </w:pPr>
      <w:rPr>
        <w:rFonts w:hint="default"/>
        <w:sz w:val="22"/>
        <w:szCs w:val="22"/>
      </w:rPr>
    </w:lvl>
    <w:lvl w:ilvl="3">
      <w:start w:val="1"/>
      <w:numFmt w:val="decimal"/>
      <w:lvlText w:val="%1.%2.%3.%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7B90121B"/>
    <w:multiLevelType w:val="multilevel"/>
    <w:tmpl w:val="AAAE695C"/>
    <w:lvl w:ilvl="0">
      <w:start w:val="1"/>
      <w:numFmt w:val="none"/>
      <w:pStyle w:val="doBullets"/>
      <w:lvlText w:val="%1-"/>
      <w:lvlJc w:val="left"/>
      <w:pPr>
        <w:tabs>
          <w:tab w:val="num" w:pos="1440"/>
        </w:tabs>
        <w:ind w:left="1440" w:hanging="720"/>
      </w:pPr>
      <w:rPr>
        <w:rFonts w:hint="default"/>
      </w:rPr>
    </w:lvl>
    <w:lvl w:ilvl="1">
      <w:start w:val="1"/>
      <w:numFmt w:val="bullet"/>
      <w:lvlText w:val="○"/>
      <w:lvlJc w:val="left"/>
      <w:pPr>
        <w:tabs>
          <w:tab w:val="num" w:pos="2160"/>
        </w:tabs>
        <w:ind w:left="2160" w:hanging="720"/>
      </w:pPr>
      <w:rPr>
        <w:rFonts w:ascii="Courier New" w:hAnsi="Courier New" w:hint="default"/>
        <w:color w:val="auto"/>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abstractNumId w:val="12"/>
  </w:num>
  <w:num w:numId="2">
    <w:abstractNumId w:val="10"/>
  </w:num>
  <w:num w:numId="3">
    <w:abstractNumId w:val="8"/>
  </w:num>
  <w:num w:numId="4">
    <w:abstractNumId w:val="5"/>
  </w:num>
  <w:num w:numId="5">
    <w:abstractNumId w:val="3"/>
  </w:num>
  <w:num w:numId="6">
    <w:abstractNumId w:val="7"/>
  </w:num>
  <w:num w:numId="7">
    <w:abstractNumId w:val="11"/>
  </w:num>
  <w:num w:numId="8">
    <w:abstractNumId w:val="0"/>
  </w:num>
  <w:num w:numId="9">
    <w:abstractNumId w:val="13"/>
  </w:num>
  <w:num w:numId="10">
    <w:abstractNumId w:val="9"/>
  </w:num>
  <w:num w:numId="11">
    <w:abstractNumId w:val="2"/>
  </w:num>
  <w:num w:numId="12">
    <w:abstractNumId w:val="6"/>
  </w:num>
  <w:num w:numId="13">
    <w:abstractNumId w:val="4"/>
  </w:num>
  <w:num w:numId="14">
    <w:abstractNumId w:val="1"/>
  </w:num>
  <w:num w:numId="1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
  </w:num>
  <w:num w:numId="17">
    <w:abstractNumId w:val="3"/>
  </w:num>
  <w:num w:numId="18">
    <w:abstractNumId w:val="3"/>
  </w:num>
  <w:num w:numId="19">
    <w:abstractNumId w:val="3"/>
  </w:num>
  <w:num w:numId="20">
    <w:abstractNumId w:val="3"/>
  </w:num>
  <w:num w:numId="21">
    <w:abstractNumId w:val="3"/>
  </w:num>
  <w:num w:numId="22">
    <w:abstractNumId w:val="3"/>
  </w:num>
  <w:num w:numId="23">
    <w:abstractNumId w:val="3"/>
  </w:num>
  <w:num w:numId="24">
    <w:abstractNumId w:val="3"/>
  </w:num>
  <w:num w:numId="25">
    <w:abstractNumId w:val="3"/>
  </w:num>
  <w:num w:numId="26">
    <w:abstractNumId w:val="3"/>
  </w:num>
  <w:num w:numId="27">
    <w:abstractNumId w:val="3"/>
  </w:num>
  <w:num w:numId="28">
    <w:abstractNumId w:val="3"/>
  </w:num>
  <w:num w:numId="29">
    <w:abstractNumId w:val="3"/>
  </w:num>
  <w:num w:numId="30">
    <w:abstractNumId w:val="3"/>
  </w:num>
  <w:num w:numId="31">
    <w:abstractNumId w:val="3"/>
  </w:num>
  <w:num w:numId="32">
    <w:abstractNumId w:val="3"/>
  </w:num>
  <w:num w:numId="33">
    <w:abstractNumId w:val="3"/>
  </w:num>
  <w:num w:numId="34">
    <w:abstractNumId w:val="3"/>
  </w:num>
  <w:num w:numId="35">
    <w:abstractNumId w:val="3"/>
  </w:num>
  <w:num w:numId="3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2"/>
  </w:num>
  <w:num w:numId="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cumentProtection w:formatting="1" w:enforcement="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1BDE"/>
    <w:rsid w:val="00244DD3"/>
    <w:rsid w:val="006E1BD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7591BFD5-C7B3-4497-B9FA-CB7A78C17B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iPriority="0"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aliases w:val="EX Normal"/>
    <w:qFormat/>
    <w:pPr>
      <w:numPr>
        <w:numId w:val="6"/>
      </w:numPr>
      <w:spacing w:after="220" w:line="276" w:lineRule="auto"/>
      <w:jc w:val="both"/>
    </w:pPr>
    <w:rPr>
      <w:rFonts w:ascii="Candara" w:hAnsi="Candara"/>
      <w:sz w:val="22"/>
      <w:lang w:val="en-GB"/>
    </w:rPr>
  </w:style>
  <w:style w:type="paragraph" w:styleId="Heading1">
    <w:name w:val="heading 1"/>
    <w:aliases w:val="EX Heading 1"/>
    <w:basedOn w:val="Normal"/>
    <w:next w:val="Normal"/>
    <w:link w:val="Heading1Char"/>
    <w:uiPriority w:val="9"/>
    <w:qFormat/>
    <w:pPr>
      <w:keepNext/>
      <w:keepLines/>
      <w:pageBreakBefore/>
      <w:numPr>
        <w:numId w:val="1"/>
      </w:numPr>
      <w:spacing w:before="1440"/>
      <w:jc w:val="left"/>
      <w:outlineLvl w:val="0"/>
    </w:pPr>
    <w:rPr>
      <w:rFonts w:eastAsiaTheme="majorEastAsia" w:cstheme="majorBidi"/>
      <w:b/>
      <w:bCs/>
      <w:caps/>
      <w:color w:val="1C7EF9"/>
      <w:sz w:val="36"/>
      <w:szCs w:val="28"/>
    </w:rPr>
  </w:style>
  <w:style w:type="paragraph" w:styleId="Heading2">
    <w:name w:val="heading 2"/>
    <w:aliases w:val="EX Heading 2"/>
    <w:next w:val="Normal"/>
    <w:link w:val="Heading2Char"/>
    <w:uiPriority w:val="9"/>
    <w:unhideWhenUsed/>
    <w:qFormat/>
    <w:pPr>
      <w:keepNext/>
      <w:keepLines/>
      <w:numPr>
        <w:ilvl w:val="1"/>
        <w:numId w:val="1"/>
      </w:numPr>
      <w:pBdr>
        <w:bottom w:val="single" w:sz="4" w:space="5" w:color="C3BEBB" w:themeColor="accent3" w:themeTint="66"/>
      </w:pBdr>
      <w:spacing w:before="480" w:after="240" w:line="276" w:lineRule="auto"/>
      <w:outlineLvl w:val="1"/>
    </w:pPr>
    <w:rPr>
      <w:rFonts w:ascii="Candara" w:eastAsiaTheme="majorEastAsia" w:hAnsi="Candara" w:cstheme="majorBidi"/>
      <w:b/>
      <w:bCs/>
      <w:color w:val="665E5A" w:themeColor="accent3"/>
      <w:sz w:val="22"/>
      <w:szCs w:val="22"/>
      <w:lang w:val="en-GB" w:eastAsia="sv-SE"/>
    </w:rPr>
  </w:style>
  <w:style w:type="paragraph" w:styleId="Heading3">
    <w:name w:val="heading 3"/>
    <w:aliases w:val="EX Heading 3"/>
    <w:basedOn w:val="Normal"/>
    <w:next w:val="Normal"/>
    <w:link w:val="Heading3Char"/>
    <w:uiPriority w:val="9"/>
    <w:unhideWhenUsed/>
    <w:qFormat/>
    <w:pPr>
      <w:keepNext/>
      <w:keepLines/>
      <w:numPr>
        <w:ilvl w:val="2"/>
        <w:numId w:val="1"/>
      </w:numPr>
      <w:spacing w:before="360" w:after="100"/>
      <w:jc w:val="left"/>
      <w:outlineLvl w:val="2"/>
    </w:pPr>
    <w:rPr>
      <w:rFonts w:eastAsiaTheme="majorEastAsia" w:cstheme="majorBidi"/>
      <w:b/>
      <w:bCs/>
      <w:color w:val="665E5A" w:themeColor="accent3"/>
    </w:rPr>
  </w:style>
  <w:style w:type="paragraph" w:styleId="Heading4">
    <w:name w:val="heading 4"/>
    <w:aliases w:val="EX Heading 4"/>
    <w:basedOn w:val="Normal"/>
    <w:next w:val="Normal"/>
    <w:link w:val="Heading4Char"/>
    <w:uiPriority w:val="9"/>
    <w:unhideWhenUsed/>
    <w:qFormat/>
    <w:pPr>
      <w:keepNext/>
      <w:keepLines/>
      <w:spacing w:before="200" w:after="200"/>
      <w:jc w:val="left"/>
      <w:outlineLvl w:val="3"/>
    </w:pPr>
    <w:rPr>
      <w:rFonts w:eastAsiaTheme="majorEastAsia" w:cstheme="majorBidi"/>
      <w:b/>
      <w:bCs/>
      <w:iCs/>
      <w:color w:val="665E5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EX Heading 1 Char"/>
    <w:basedOn w:val="DefaultParagraphFont"/>
    <w:link w:val="Heading1"/>
    <w:uiPriority w:val="9"/>
    <w:rPr>
      <w:rFonts w:ascii="Candara" w:eastAsiaTheme="majorEastAsia" w:hAnsi="Candara" w:cstheme="majorBidi"/>
      <w:b/>
      <w:bCs/>
      <w:caps/>
      <w:color w:val="1C7EF9"/>
      <w:sz w:val="36"/>
      <w:szCs w:val="28"/>
      <w:lang w:val="en-GB"/>
    </w:rPr>
  </w:style>
  <w:style w:type="character" w:customStyle="1" w:styleId="Heading2Char">
    <w:name w:val="Heading 2 Char"/>
    <w:aliases w:val="EX Heading 2 Char"/>
    <w:basedOn w:val="DefaultParagraphFont"/>
    <w:link w:val="Heading2"/>
    <w:uiPriority w:val="9"/>
    <w:rPr>
      <w:rFonts w:ascii="Candara" w:eastAsiaTheme="majorEastAsia" w:hAnsi="Candara" w:cstheme="majorBidi"/>
      <w:b/>
      <w:bCs/>
      <w:color w:val="665E5A" w:themeColor="accent3"/>
      <w:sz w:val="22"/>
      <w:szCs w:val="22"/>
      <w:lang w:val="en-GB" w:eastAsia="sv-SE"/>
    </w:rPr>
  </w:style>
  <w:style w:type="character" w:customStyle="1" w:styleId="Heading3Char">
    <w:name w:val="Heading 3 Char"/>
    <w:aliases w:val="EX Heading 3 Char"/>
    <w:basedOn w:val="DefaultParagraphFont"/>
    <w:link w:val="Heading3"/>
    <w:uiPriority w:val="9"/>
    <w:rPr>
      <w:rFonts w:ascii="Candara" w:eastAsiaTheme="majorEastAsia" w:hAnsi="Candara" w:cstheme="majorBidi"/>
      <w:b/>
      <w:bCs/>
      <w:color w:val="665E5A" w:themeColor="accent3"/>
      <w:sz w:val="22"/>
      <w:lang w:val="en-GB"/>
    </w:rPr>
  </w:style>
  <w:style w:type="character" w:customStyle="1" w:styleId="Heading4Char">
    <w:name w:val="Heading 4 Char"/>
    <w:aliases w:val="EX Heading 4 Char"/>
    <w:basedOn w:val="DefaultParagraphFont"/>
    <w:link w:val="Heading4"/>
    <w:uiPriority w:val="9"/>
    <w:rPr>
      <w:rFonts w:ascii="Candara" w:eastAsiaTheme="majorEastAsia" w:hAnsi="Candara" w:cstheme="majorBidi"/>
      <w:b/>
      <w:bCs/>
      <w:iCs/>
      <w:color w:val="665E5A"/>
      <w:sz w:val="24"/>
      <w:lang w:val="en-GB"/>
    </w:rPr>
  </w:style>
  <w:style w:type="paragraph" w:customStyle="1" w:styleId="EXAnnex">
    <w:name w:val="EX Annex"/>
    <w:next w:val="Normal"/>
    <w:qFormat/>
    <w:pPr>
      <w:pageBreakBefore/>
      <w:numPr>
        <w:numId w:val="2"/>
      </w:numPr>
      <w:spacing w:before="2520"/>
      <w:ind w:left="360"/>
    </w:pPr>
    <w:rPr>
      <w:rFonts w:ascii="Candara" w:eastAsiaTheme="majorEastAsia" w:hAnsi="Candara" w:cstheme="majorBidi"/>
      <w:bCs/>
      <w:caps/>
      <w:color w:val="1C7EF9"/>
      <w:sz w:val="36"/>
      <w:szCs w:val="28"/>
    </w:rPr>
  </w:style>
  <w:style w:type="paragraph" w:styleId="TOCHeading">
    <w:name w:val="TOC Heading"/>
    <w:basedOn w:val="Heading1"/>
    <w:next w:val="Normal"/>
    <w:uiPriority w:val="39"/>
    <w:semiHidden/>
    <w:unhideWhenUsed/>
    <w:qFormat/>
    <w:pPr>
      <w:numPr>
        <w:numId w:val="0"/>
      </w:numPr>
      <w:outlineLvl w:val="9"/>
    </w:pPr>
    <w:rPr>
      <w:b w:val="0"/>
      <w:caps w:val="0"/>
      <w:color w:val="0E50B3" w:themeColor="accent1" w:themeShade="BF"/>
      <w:sz w:val="28"/>
      <w:lang w:eastAsia="ja-JP"/>
    </w:rPr>
  </w:style>
  <w:style w:type="paragraph" w:styleId="TOC1">
    <w:name w:val="toc 1"/>
    <w:aliases w:val="EX TOC 1"/>
    <w:basedOn w:val="Normal"/>
    <w:next w:val="Normal"/>
    <w:autoRedefine/>
    <w:uiPriority w:val="39"/>
    <w:unhideWhenUsed/>
    <w:pPr>
      <w:tabs>
        <w:tab w:val="left" w:pos="400"/>
        <w:tab w:val="right" w:leader="dot" w:pos="8630"/>
      </w:tabs>
      <w:spacing w:after="100"/>
    </w:pPr>
    <w:rPr>
      <w:b/>
      <w:caps/>
      <w:color w:val="1C7EF9"/>
    </w:rPr>
  </w:style>
  <w:style w:type="paragraph" w:styleId="TOC2">
    <w:name w:val="toc 2"/>
    <w:aliases w:val="EX TOC 2"/>
    <w:basedOn w:val="Normal"/>
    <w:next w:val="Normal"/>
    <w:autoRedefine/>
    <w:uiPriority w:val="39"/>
    <w:unhideWhenUsed/>
    <w:pPr>
      <w:tabs>
        <w:tab w:val="left" w:pos="660"/>
        <w:tab w:val="right" w:leader="dot" w:pos="8630"/>
      </w:tabs>
      <w:spacing w:after="100"/>
      <w:ind w:left="284"/>
    </w:pPr>
    <w:rPr>
      <w:color w:val="665E5A" w:themeColor="accent3"/>
    </w:rPr>
  </w:style>
  <w:style w:type="paragraph" w:styleId="TOC3">
    <w:name w:val="toc 3"/>
    <w:aliases w:val="EX TOC 3"/>
    <w:basedOn w:val="Normal"/>
    <w:next w:val="Normal"/>
    <w:autoRedefine/>
    <w:uiPriority w:val="39"/>
    <w:unhideWhenUsed/>
    <w:pPr>
      <w:tabs>
        <w:tab w:val="left" w:pos="658"/>
        <w:tab w:val="right" w:leader="dot" w:pos="8630"/>
      </w:tabs>
      <w:spacing w:after="100"/>
      <w:ind w:left="567"/>
    </w:pPr>
    <w:rPr>
      <w:color w:val="665E5A" w:themeColor="accent3"/>
    </w:rPr>
  </w:style>
  <w:style w:type="character" w:styleId="Hyperlink">
    <w:name w:val="Hyperlink"/>
    <w:aliases w:val="EX Hyperlink"/>
    <w:basedOn w:val="DefaultParagraphFont"/>
    <w:uiPriority w:val="99"/>
    <w:unhideWhenUsed/>
    <w:rPr>
      <w:color w:val="0000FF" w:themeColor="hyperlink"/>
      <w:u w:val="single"/>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val="en-GB"/>
    </w:rPr>
  </w:style>
  <w:style w:type="character" w:styleId="CommentReference">
    <w:name w:val="annotation reference"/>
    <w:basedOn w:val="DefaultParagraphFont"/>
    <w:uiPriority w:val="99"/>
    <w:semiHidden/>
    <w:unhideWhenUsed/>
    <w:rPr>
      <w:sz w:val="16"/>
      <w:szCs w:val="16"/>
    </w:r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rPr>
      <w:rFonts w:ascii="Candara" w:hAnsi="Candara"/>
      <w:sz w:val="22"/>
      <w:lang w:val="en-GB"/>
    </w:rPr>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rFonts w:ascii="Candara" w:hAnsi="Candara"/>
      <w:b/>
      <w:bCs/>
      <w:sz w:val="22"/>
      <w:lang w:val="en-GB"/>
    </w:rPr>
  </w:style>
  <w:style w:type="character" w:styleId="PlaceholderText">
    <w:name w:val="Placeholder Text"/>
    <w:basedOn w:val="DefaultParagraphFont"/>
    <w:uiPriority w:val="99"/>
    <w:semiHidden/>
    <w:rPr>
      <w:color w:val="808080"/>
    </w:rPr>
  </w:style>
  <w:style w:type="paragraph" w:styleId="ListParagraph">
    <w:name w:val="List Paragraph"/>
    <w:aliases w:val="EX Bullet,Citation List,Graphic,List Paragraph1,Bullets1,Resume Title,Table of contents numbered,heading 4,Ha,List Paragraph Char Char,Heading 2_sj,Report Para,ADB paragraph numbering,Bullets,Use Case List Paragraph,List bullets 2"/>
    <w:basedOn w:val="Normal"/>
    <w:link w:val="ListParagraphChar"/>
    <w:qFormat/>
    <w:pPr>
      <w:numPr>
        <w:numId w:val="5"/>
      </w:numPr>
      <w:tabs>
        <w:tab w:val="left" w:pos="567"/>
      </w:tabs>
      <w:spacing w:before="120"/>
      <w:contextualSpacing/>
    </w:pPr>
    <w:rPr>
      <w:rFonts w:eastAsia="Times New Roman"/>
    </w:rPr>
  </w:style>
  <w:style w:type="character" w:customStyle="1" w:styleId="ListParagraphChar">
    <w:name w:val="List Paragraph Char"/>
    <w:aliases w:val="EX Bullet Char,Citation List Char,Graphic Char,List Paragraph1 Char,Bullets1 Char,Resume Title Char,Table of contents numbered Char,heading 4 Char,Ha Char,List Paragraph Char Char Char,Heading 2_sj Char,Report Para Char,Bullets Char"/>
    <w:basedOn w:val="DefaultParagraphFont"/>
    <w:link w:val="ListParagraph"/>
    <w:rPr>
      <w:rFonts w:ascii="Candara" w:eastAsia="Times New Roman" w:hAnsi="Candara"/>
      <w:sz w:val="22"/>
      <w:lang w:val="en-GB"/>
    </w:rPr>
  </w:style>
  <w:style w:type="paragraph" w:styleId="Index6">
    <w:name w:val="index 6"/>
    <w:basedOn w:val="Normal"/>
    <w:next w:val="Normal"/>
    <w:autoRedefine/>
    <w:semiHidden/>
    <w:pPr>
      <w:spacing w:before="120"/>
      <w:ind w:left="1440" w:hanging="240"/>
    </w:pPr>
    <w:rPr>
      <w:rFonts w:ascii="Arial" w:eastAsia="Times New Roman" w:hAnsi="Arial"/>
    </w:rPr>
  </w:style>
  <w:style w:type="paragraph" w:styleId="NoSpacing">
    <w:name w:val="No Spacing"/>
    <w:link w:val="NoSpacingChar"/>
    <w:uiPriority w:val="1"/>
    <w:qFormat/>
    <w:pPr>
      <w:tabs>
        <w:tab w:val="left" w:pos="567"/>
      </w:tabs>
      <w:jc w:val="both"/>
    </w:pPr>
    <w:rPr>
      <w:rFonts w:ascii="Candara" w:eastAsia="Times New Roman" w:hAnsi="Candara"/>
      <w:sz w:val="22"/>
      <w:lang w:val="en-GB"/>
    </w:rPr>
  </w:style>
  <w:style w:type="character" w:customStyle="1" w:styleId="NoSpacingChar">
    <w:name w:val="No Spacing Char"/>
    <w:basedOn w:val="DefaultParagraphFont"/>
    <w:link w:val="NoSpacing"/>
    <w:uiPriority w:val="1"/>
    <w:rPr>
      <w:rFonts w:ascii="Candara" w:eastAsia="Times New Roman" w:hAnsi="Candara"/>
      <w:sz w:val="22"/>
      <w:lang w:val="en-GB"/>
    </w:rPr>
  </w:style>
  <w:style w:type="paragraph" w:styleId="Title">
    <w:name w:val="Title"/>
    <w:aliases w:val="EX Title"/>
    <w:basedOn w:val="Normal"/>
    <w:link w:val="TitleChar"/>
    <w:qFormat/>
    <w:pPr>
      <w:spacing w:after="0" w:line="260" w:lineRule="exact"/>
      <w:jc w:val="center"/>
    </w:pPr>
    <w:rPr>
      <w:rFonts w:eastAsia="Times New Roman"/>
      <w:b/>
      <w:sz w:val="28"/>
    </w:rPr>
  </w:style>
  <w:style w:type="character" w:customStyle="1" w:styleId="TitleChar">
    <w:name w:val="Title Char"/>
    <w:aliases w:val="EX Title Char"/>
    <w:basedOn w:val="DefaultParagraphFont"/>
    <w:link w:val="Title"/>
    <w:rPr>
      <w:rFonts w:ascii="Candara" w:eastAsia="Times New Roman" w:hAnsi="Candara"/>
      <w:b/>
      <w:sz w:val="28"/>
      <w:lang w:val="en-GB"/>
    </w:rPr>
  </w:style>
  <w:style w:type="paragraph" w:customStyle="1" w:styleId="EXTabletext">
    <w:name w:val="EX Table text"/>
    <w:basedOn w:val="Normal"/>
    <w:qFormat/>
    <w:pPr>
      <w:tabs>
        <w:tab w:val="left" w:pos="567"/>
      </w:tabs>
      <w:spacing w:before="20" w:after="20"/>
      <w:jc w:val="left"/>
    </w:pPr>
    <w:rPr>
      <w:rFonts w:eastAsia="Times New Roman"/>
      <w:sz w:val="20"/>
      <w:szCs w:val="18"/>
    </w:rPr>
  </w:style>
  <w:style w:type="table" w:styleId="TableGrid">
    <w:name w:val="Table Grid"/>
    <w:basedOn w:val="TableNormal"/>
    <w:uiPriority w:val="59"/>
    <w:pPr>
      <w:spacing w:before="60" w:after="60"/>
      <w:jc w:val="both"/>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EX Caption"/>
    <w:basedOn w:val="Normal"/>
    <w:next w:val="Normal"/>
    <w:uiPriority w:val="35"/>
    <w:unhideWhenUsed/>
    <w:qFormat/>
    <w:pPr>
      <w:keepNext/>
      <w:spacing w:after="200"/>
    </w:pPr>
    <w:rPr>
      <w:b/>
      <w:bCs/>
      <w:color w:val="166CED" w:themeColor="accent1"/>
      <w:szCs w:val="18"/>
    </w:rPr>
  </w:style>
  <w:style w:type="paragraph" w:styleId="Header">
    <w:name w:val="header"/>
    <w:aliases w:val="EX Header"/>
    <w:basedOn w:val="Normal"/>
    <w:link w:val="HeaderChar"/>
    <w:uiPriority w:val="99"/>
    <w:unhideWhenUsed/>
    <w:pPr>
      <w:tabs>
        <w:tab w:val="center" w:pos="4320"/>
        <w:tab w:val="right" w:pos="8640"/>
      </w:tabs>
      <w:spacing w:after="0"/>
    </w:pPr>
  </w:style>
  <w:style w:type="character" w:customStyle="1" w:styleId="HeaderChar">
    <w:name w:val="Header Char"/>
    <w:aliases w:val="EX Header Char"/>
    <w:basedOn w:val="DefaultParagraphFont"/>
    <w:link w:val="Header"/>
    <w:uiPriority w:val="99"/>
    <w:rPr>
      <w:rFonts w:ascii="Candara" w:hAnsi="Candara"/>
      <w:sz w:val="22"/>
      <w:lang w:val="en-GB"/>
    </w:rPr>
  </w:style>
  <w:style w:type="paragraph" w:styleId="Footer">
    <w:name w:val="footer"/>
    <w:aliases w:val="EX Footer"/>
    <w:basedOn w:val="Normal"/>
    <w:link w:val="FooterChar"/>
    <w:uiPriority w:val="99"/>
    <w:unhideWhenUsed/>
    <w:pPr>
      <w:tabs>
        <w:tab w:val="center" w:pos="4320"/>
        <w:tab w:val="right" w:pos="8640"/>
      </w:tabs>
      <w:spacing w:after="0"/>
    </w:pPr>
  </w:style>
  <w:style w:type="character" w:customStyle="1" w:styleId="FooterChar">
    <w:name w:val="Footer Char"/>
    <w:aliases w:val="EX Footer Char"/>
    <w:basedOn w:val="DefaultParagraphFont"/>
    <w:link w:val="Footer"/>
    <w:uiPriority w:val="99"/>
    <w:rPr>
      <w:rFonts w:ascii="Candara" w:hAnsi="Candara"/>
      <w:sz w:val="22"/>
      <w:lang w:val="en-GB"/>
    </w:rPr>
  </w:style>
  <w:style w:type="paragraph" w:customStyle="1" w:styleId="EXTableBullet">
    <w:name w:val="EX Table Bullet"/>
    <w:link w:val="EXTableBulletChar"/>
    <w:qFormat/>
    <w:pPr>
      <w:numPr>
        <w:numId w:val="4"/>
      </w:numPr>
      <w:jc w:val="both"/>
    </w:pPr>
    <w:rPr>
      <w:rFonts w:ascii="Candara" w:eastAsia="Times New Roman" w:hAnsi="Candara"/>
      <w:sz w:val="22"/>
      <w:lang w:val="en-GB"/>
    </w:rPr>
  </w:style>
  <w:style w:type="character" w:customStyle="1" w:styleId="EXTableBulletChar">
    <w:name w:val="EX Table Bullet Char"/>
    <w:basedOn w:val="ListParagraphChar"/>
    <w:link w:val="EXTableBullet"/>
    <w:rPr>
      <w:rFonts w:ascii="Candara" w:eastAsia="Times New Roman" w:hAnsi="Candara"/>
      <w:sz w:val="22"/>
      <w:lang w:val="en-GB"/>
    </w:rPr>
  </w:style>
  <w:style w:type="paragraph" w:customStyle="1" w:styleId="EXboldtitles">
    <w:name w:val="EX bold titles"/>
    <w:basedOn w:val="Normal"/>
    <w:link w:val="EXboldtitlesChar"/>
    <w:qFormat/>
    <w:pPr>
      <w:spacing w:before="240" w:after="60"/>
    </w:pPr>
    <w:rPr>
      <w:b/>
    </w:rPr>
  </w:style>
  <w:style w:type="character" w:customStyle="1" w:styleId="EXboldtitlesChar">
    <w:name w:val="EX bold titles Char"/>
    <w:basedOn w:val="DefaultParagraphFont"/>
    <w:link w:val="EXboldtitles"/>
    <w:rPr>
      <w:rFonts w:ascii="Candara" w:hAnsi="Candara"/>
      <w:b/>
      <w:sz w:val="22"/>
      <w:lang w:val="en-GB"/>
    </w:rPr>
  </w:style>
  <w:style w:type="paragraph" w:customStyle="1" w:styleId="EXNumberedlist">
    <w:name w:val="EX Numbered list"/>
    <w:basedOn w:val="Normal"/>
    <w:link w:val="EXNumberedlistChar"/>
    <w:qFormat/>
    <w:pPr>
      <w:numPr>
        <w:ilvl w:val="1"/>
      </w:numPr>
      <w:spacing w:before="120"/>
      <w:contextualSpacing/>
    </w:pPr>
  </w:style>
  <w:style w:type="character" w:customStyle="1" w:styleId="EXNumberedlistChar">
    <w:name w:val="EX Numbered list Char"/>
    <w:basedOn w:val="DefaultParagraphFont"/>
    <w:link w:val="EXNumberedlist"/>
    <w:rPr>
      <w:rFonts w:ascii="Candara" w:hAnsi="Candara"/>
      <w:sz w:val="22"/>
      <w:lang w:val="en-GB"/>
    </w:rPr>
  </w:style>
  <w:style w:type="paragraph" w:styleId="FootnoteText">
    <w:name w:val="footnote text"/>
    <w:basedOn w:val="Normal"/>
    <w:link w:val="FootnoteTextChar"/>
    <w:uiPriority w:val="99"/>
    <w:unhideWhenUsed/>
    <w:pPr>
      <w:spacing w:after="0" w:line="240" w:lineRule="auto"/>
      <w:ind w:left="567" w:hanging="567"/>
    </w:pPr>
    <w:rPr>
      <w:sz w:val="20"/>
    </w:rPr>
  </w:style>
  <w:style w:type="character" w:customStyle="1" w:styleId="FootnoteTextChar">
    <w:name w:val="Footnote Text Char"/>
    <w:basedOn w:val="DefaultParagraphFont"/>
    <w:link w:val="FootnoteText"/>
    <w:uiPriority w:val="99"/>
    <w:rPr>
      <w:rFonts w:ascii="Candara" w:hAnsi="Candara"/>
      <w:lang w:val="en-GB"/>
    </w:rPr>
  </w:style>
  <w:style w:type="character" w:styleId="FootnoteReference">
    <w:name w:val="footnote reference"/>
    <w:basedOn w:val="DefaultParagraphFont"/>
    <w:uiPriority w:val="99"/>
    <w:unhideWhenUsed/>
    <w:rPr>
      <w:vertAlign w:val="superscript"/>
    </w:rPr>
  </w:style>
  <w:style w:type="character" w:customStyle="1" w:styleId="zzmpTrailerItem">
    <w:name w:val="zzmpTrailerItem"/>
    <w:basedOn w:val="DefaultParagraphFont"/>
    <w:rPr>
      <w:rFonts w:ascii="Candara" w:hAnsi="Candara" w:cs="Times New Roman"/>
      <w:dstrike w:val="0"/>
      <w:noProof/>
      <w:color w:val="auto"/>
      <w:spacing w:val="0"/>
      <w:position w:val="0"/>
      <w:sz w:val="16"/>
      <w:szCs w:val="16"/>
      <w:u w:val="none"/>
      <w:effect w:val="none"/>
      <w:vertAlign w:val="baseline"/>
    </w:rPr>
  </w:style>
  <w:style w:type="table" w:customStyle="1" w:styleId="GridTable5Dark-Accent11">
    <w:name w:val="Grid Table 5 Dark - Accent 11"/>
    <w:basedOn w:val="TableNormal"/>
    <w:uiPriority w:val="50"/>
    <w:rPr>
      <w:rFonts w:asciiTheme="minorHAnsi" w:eastAsiaTheme="minorEastAsia" w:hAnsiTheme="minorHAnsi" w:cstheme="minorBidi"/>
      <w:sz w:val="22"/>
      <w:szCs w:val="22"/>
      <w:lang w:val="sv-SE" w:eastAsia="sv-SE"/>
    </w:rPr>
    <w:tblPr>
      <w:tblStyleRowBandSize w:val="1"/>
      <w:tblStyleColBandSize w:val="1"/>
      <w:tblBorders>
        <w:top w:val="single" w:sz="4" w:space="0" w:color="EFF2F5" w:themeColor="background1"/>
        <w:left w:val="single" w:sz="4" w:space="0" w:color="EFF2F5" w:themeColor="background1"/>
        <w:bottom w:val="single" w:sz="4" w:space="0" w:color="EFF2F5" w:themeColor="background1"/>
        <w:right w:val="single" w:sz="4" w:space="0" w:color="EFF2F5" w:themeColor="background1"/>
        <w:insideH w:val="single" w:sz="4" w:space="0" w:color="EFF2F5" w:themeColor="background1"/>
        <w:insideV w:val="single" w:sz="4" w:space="0" w:color="EFF2F5" w:themeColor="background1"/>
      </w:tblBorders>
    </w:tblPr>
    <w:tcPr>
      <w:shd w:val="clear" w:color="auto" w:fill="D0E1FB" w:themeFill="accent1" w:themeFillTint="33"/>
    </w:tcPr>
    <w:tblStylePr w:type="firstRow">
      <w:rPr>
        <w:b/>
        <w:bCs/>
        <w:color w:val="EFF2F5" w:themeColor="background1"/>
      </w:rPr>
      <w:tblPr/>
      <w:tcPr>
        <w:tcBorders>
          <w:top w:val="single" w:sz="4" w:space="0" w:color="EFF2F5" w:themeColor="background1"/>
          <w:left w:val="single" w:sz="4" w:space="0" w:color="EFF2F5" w:themeColor="background1"/>
          <w:right w:val="single" w:sz="4" w:space="0" w:color="EFF2F5" w:themeColor="background1"/>
          <w:insideH w:val="nil"/>
          <w:insideV w:val="nil"/>
        </w:tcBorders>
        <w:shd w:val="clear" w:color="auto" w:fill="166CED" w:themeFill="accent1"/>
      </w:tcPr>
    </w:tblStylePr>
    <w:tblStylePr w:type="lastRow">
      <w:rPr>
        <w:b/>
        <w:bCs/>
        <w:color w:val="EFF2F5" w:themeColor="background1"/>
      </w:rPr>
      <w:tblPr/>
      <w:tcPr>
        <w:tcBorders>
          <w:left w:val="single" w:sz="4" w:space="0" w:color="EFF2F5" w:themeColor="background1"/>
          <w:bottom w:val="single" w:sz="4" w:space="0" w:color="EFF2F5" w:themeColor="background1"/>
          <w:right w:val="single" w:sz="4" w:space="0" w:color="EFF2F5" w:themeColor="background1"/>
          <w:insideH w:val="nil"/>
          <w:insideV w:val="nil"/>
        </w:tcBorders>
        <w:shd w:val="clear" w:color="auto" w:fill="166CED" w:themeFill="accent1"/>
      </w:tcPr>
    </w:tblStylePr>
    <w:tblStylePr w:type="firstCol">
      <w:rPr>
        <w:b/>
        <w:bCs/>
        <w:color w:val="EFF2F5" w:themeColor="background1"/>
      </w:rPr>
      <w:tblPr/>
      <w:tcPr>
        <w:tcBorders>
          <w:top w:val="single" w:sz="4" w:space="0" w:color="EFF2F5" w:themeColor="background1"/>
          <w:left w:val="single" w:sz="4" w:space="0" w:color="EFF2F5" w:themeColor="background1"/>
          <w:bottom w:val="single" w:sz="4" w:space="0" w:color="EFF2F5" w:themeColor="background1"/>
          <w:insideV w:val="nil"/>
        </w:tcBorders>
        <w:shd w:val="clear" w:color="auto" w:fill="166CED" w:themeFill="accent1"/>
      </w:tcPr>
    </w:tblStylePr>
    <w:tblStylePr w:type="lastCol">
      <w:rPr>
        <w:b/>
        <w:bCs/>
        <w:color w:val="EFF2F5" w:themeColor="background1"/>
      </w:rPr>
      <w:tblPr/>
      <w:tcPr>
        <w:tcBorders>
          <w:top w:val="single" w:sz="4" w:space="0" w:color="EFF2F5" w:themeColor="background1"/>
          <w:bottom w:val="single" w:sz="4" w:space="0" w:color="EFF2F5" w:themeColor="background1"/>
          <w:right w:val="single" w:sz="4" w:space="0" w:color="EFF2F5" w:themeColor="background1"/>
          <w:insideV w:val="nil"/>
        </w:tcBorders>
        <w:shd w:val="clear" w:color="auto" w:fill="166CED" w:themeFill="accent1"/>
      </w:tcPr>
    </w:tblStylePr>
    <w:tblStylePr w:type="band1Vert">
      <w:tblPr/>
      <w:tcPr>
        <w:shd w:val="clear" w:color="auto" w:fill="A1C4F7" w:themeFill="accent1" w:themeFillTint="66"/>
      </w:tcPr>
    </w:tblStylePr>
    <w:tblStylePr w:type="band1Horz">
      <w:tblPr/>
      <w:tcPr>
        <w:shd w:val="clear" w:color="auto" w:fill="A1C4F7" w:themeFill="accent1" w:themeFillTint="66"/>
      </w:tcPr>
    </w:tblStylePr>
  </w:style>
  <w:style w:type="paragraph" w:customStyle="1" w:styleId="Normale">
    <w:name w:val="Normale"/>
    <w:pPr>
      <w:widowControl w:val="0"/>
    </w:pPr>
    <w:rPr>
      <w:rFonts w:eastAsia="Times New Roman"/>
      <w:lang w:val="it-IT"/>
    </w:rPr>
  </w:style>
  <w:style w:type="paragraph" w:customStyle="1" w:styleId="Default">
    <w:name w:val="Default"/>
    <w:pPr>
      <w:autoSpaceDE w:val="0"/>
      <w:autoSpaceDN w:val="0"/>
      <w:adjustRightInd w:val="0"/>
    </w:pPr>
    <w:rPr>
      <w:rFonts w:ascii="EC Square Sans Pro" w:hAnsi="EC Square Sans Pro" w:cs="EC Square Sans Pro"/>
      <w:color w:val="000000"/>
      <w:sz w:val="24"/>
      <w:szCs w:val="24"/>
      <w:lang w:val="nl-BE"/>
    </w:rPr>
  </w:style>
  <w:style w:type="table" w:customStyle="1" w:styleId="GridTable4-Accent11">
    <w:name w:val="Grid Table 4 - Accent 11"/>
    <w:basedOn w:val="TableNormal"/>
    <w:uiPriority w:val="49"/>
    <w:rPr>
      <w:rFonts w:asciiTheme="minorHAnsi" w:hAnsiTheme="minorHAnsi" w:cstheme="minorBidi"/>
    </w:rPr>
    <w:tblPr>
      <w:tblStyleRowBandSize w:val="1"/>
      <w:tblStyleColBandSize w:val="1"/>
      <w:tblBorders>
        <w:top w:val="single" w:sz="4" w:space="0" w:color="73A6F4" w:themeColor="accent1" w:themeTint="99"/>
        <w:left w:val="single" w:sz="4" w:space="0" w:color="73A6F4" w:themeColor="accent1" w:themeTint="99"/>
        <w:bottom w:val="single" w:sz="4" w:space="0" w:color="73A6F4" w:themeColor="accent1" w:themeTint="99"/>
        <w:right w:val="single" w:sz="4" w:space="0" w:color="73A6F4" w:themeColor="accent1" w:themeTint="99"/>
        <w:insideH w:val="single" w:sz="4" w:space="0" w:color="73A6F4" w:themeColor="accent1" w:themeTint="99"/>
        <w:insideV w:val="single" w:sz="4" w:space="0" w:color="73A6F4" w:themeColor="accent1" w:themeTint="99"/>
      </w:tblBorders>
    </w:tblPr>
    <w:tblStylePr w:type="firstRow">
      <w:rPr>
        <w:b/>
        <w:bCs/>
        <w:color w:val="EFF2F5" w:themeColor="background1"/>
      </w:rPr>
      <w:tblPr/>
      <w:tcPr>
        <w:tcBorders>
          <w:top w:val="single" w:sz="4" w:space="0" w:color="166CED" w:themeColor="accent1"/>
          <w:left w:val="single" w:sz="4" w:space="0" w:color="166CED" w:themeColor="accent1"/>
          <w:bottom w:val="single" w:sz="4" w:space="0" w:color="166CED" w:themeColor="accent1"/>
          <w:right w:val="single" w:sz="4" w:space="0" w:color="166CED" w:themeColor="accent1"/>
          <w:insideH w:val="nil"/>
          <w:insideV w:val="nil"/>
        </w:tcBorders>
        <w:shd w:val="clear" w:color="auto" w:fill="166CED" w:themeFill="accent1"/>
      </w:tcPr>
    </w:tblStylePr>
    <w:tblStylePr w:type="lastRow">
      <w:rPr>
        <w:b/>
        <w:bCs/>
      </w:rPr>
      <w:tblPr/>
      <w:tcPr>
        <w:tcBorders>
          <w:top w:val="double" w:sz="4" w:space="0" w:color="166CED" w:themeColor="accent1"/>
        </w:tcBorders>
      </w:tcPr>
    </w:tblStylePr>
    <w:tblStylePr w:type="firstCol">
      <w:rPr>
        <w:b/>
        <w:bCs/>
      </w:rPr>
    </w:tblStylePr>
    <w:tblStylePr w:type="lastCol">
      <w:rPr>
        <w:b/>
        <w:bCs/>
      </w:rPr>
    </w:tblStylePr>
    <w:tblStylePr w:type="band1Vert">
      <w:tblPr/>
      <w:tcPr>
        <w:shd w:val="clear" w:color="auto" w:fill="D0E1FB" w:themeFill="accent1" w:themeFillTint="33"/>
      </w:tcPr>
    </w:tblStylePr>
    <w:tblStylePr w:type="band1Horz">
      <w:tblPr/>
      <w:tcPr>
        <w:shd w:val="clear" w:color="auto" w:fill="D0E1FB" w:themeFill="accent1" w:themeFillTint="33"/>
      </w:tcPr>
    </w:tblStylePr>
  </w:style>
  <w:style w:type="character" w:customStyle="1" w:styleId="apple-converted-space">
    <w:name w:val="apple-converted-space"/>
    <w:basedOn w:val="DefaultParagraphFont"/>
  </w:style>
  <w:style w:type="paragraph" w:styleId="Revision">
    <w:name w:val="Revision"/>
    <w:hidden/>
    <w:uiPriority w:val="99"/>
    <w:semiHidden/>
    <w:rPr>
      <w:rFonts w:ascii="Candara" w:hAnsi="Candara"/>
      <w:sz w:val="22"/>
      <w:lang w:val="en-GB"/>
    </w:rPr>
  </w:style>
  <w:style w:type="paragraph" w:styleId="ListNumber">
    <w:name w:val="List Number"/>
    <w:basedOn w:val="Normal"/>
    <w:semiHidden/>
    <w:pPr>
      <w:numPr>
        <w:numId w:val="8"/>
      </w:numPr>
      <w:tabs>
        <w:tab w:val="clear" w:pos="720"/>
      </w:tabs>
      <w:spacing w:after="0" w:line="360" w:lineRule="auto"/>
      <w:jc w:val="left"/>
    </w:pPr>
    <w:rPr>
      <w:rFonts w:ascii="Times New Roman" w:eastAsia="SimSun" w:hAnsi="Times New Roman"/>
      <w:sz w:val="24"/>
      <w:szCs w:val="24"/>
      <w:lang w:eastAsia="zh-CN"/>
    </w:rPr>
  </w:style>
  <w:style w:type="paragraph" w:customStyle="1" w:styleId="doBullets">
    <w:name w:val="doBullets"/>
    <w:basedOn w:val="Normal"/>
    <w:qFormat/>
    <w:pPr>
      <w:numPr>
        <w:numId w:val="9"/>
      </w:numPr>
      <w:spacing w:after="240" w:line="360" w:lineRule="auto"/>
    </w:pPr>
    <w:rPr>
      <w:rFonts w:ascii="Times New Roman" w:eastAsia="SimSun" w:hAnsi="Times New Roman"/>
      <w:sz w:val="24"/>
      <w:szCs w:val="22"/>
      <w:lang w:eastAsia="zh-CN"/>
    </w:rPr>
  </w:style>
  <w:style w:type="character" w:styleId="FollowedHyperlink">
    <w:name w:val="FollowedHyperlink"/>
    <w:basedOn w:val="DefaultParagraphFont"/>
    <w:uiPriority w:val="99"/>
    <w:semiHidden/>
    <w:unhideWhenUsed/>
    <w:rPr>
      <w:color w:val="800080" w:themeColor="followedHyperlink"/>
      <w:u w:val="single"/>
    </w:rPr>
  </w:style>
  <w:style w:type="paragraph" w:styleId="TOC4">
    <w:name w:val="toc 4"/>
    <w:basedOn w:val="Normal"/>
    <w:next w:val="Normal"/>
    <w:autoRedefine/>
    <w:uiPriority w:val="39"/>
    <w:unhideWhenUsed/>
    <w:pPr>
      <w:numPr>
        <w:numId w:val="0"/>
      </w:numPr>
      <w:spacing w:after="100" w:line="259" w:lineRule="auto"/>
      <w:ind w:left="660"/>
      <w:jc w:val="left"/>
    </w:pPr>
    <w:rPr>
      <w:rFonts w:asciiTheme="minorHAnsi" w:eastAsiaTheme="minorEastAsia" w:hAnsiTheme="minorHAnsi" w:cstheme="minorBidi"/>
      <w:szCs w:val="22"/>
      <w:lang w:eastAsia="en-GB"/>
    </w:rPr>
  </w:style>
  <w:style w:type="paragraph" w:styleId="TOC5">
    <w:name w:val="toc 5"/>
    <w:basedOn w:val="Normal"/>
    <w:next w:val="Normal"/>
    <w:autoRedefine/>
    <w:uiPriority w:val="39"/>
    <w:unhideWhenUsed/>
    <w:pPr>
      <w:numPr>
        <w:numId w:val="0"/>
      </w:numPr>
      <w:spacing w:after="100" w:line="259" w:lineRule="auto"/>
      <w:ind w:left="880"/>
      <w:jc w:val="left"/>
    </w:pPr>
    <w:rPr>
      <w:rFonts w:asciiTheme="minorHAnsi" w:eastAsiaTheme="minorEastAsia" w:hAnsiTheme="minorHAnsi" w:cstheme="minorBidi"/>
      <w:szCs w:val="22"/>
      <w:lang w:eastAsia="en-GB"/>
    </w:rPr>
  </w:style>
  <w:style w:type="paragraph" w:styleId="TOC6">
    <w:name w:val="toc 6"/>
    <w:basedOn w:val="Normal"/>
    <w:next w:val="Normal"/>
    <w:autoRedefine/>
    <w:uiPriority w:val="39"/>
    <w:unhideWhenUsed/>
    <w:pPr>
      <w:numPr>
        <w:numId w:val="0"/>
      </w:numPr>
      <w:spacing w:after="100" w:line="259" w:lineRule="auto"/>
      <w:ind w:left="1100"/>
      <w:jc w:val="left"/>
    </w:pPr>
    <w:rPr>
      <w:rFonts w:asciiTheme="minorHAnsi" w:eastAsiaTheme="minorEastAsia" w:hAnsiTheme="minorHAnsi" w:cstheme="minorBidi"/>
      <w:szCs w:val="22"/>
      <w:lang w:eastAsia="en-GB"/>
    </w:rPr>
  </w:style>
  <w:style w:type="paragraph" w:styleId="TOC7">
    <w:name w:val="toc 7"/>
    <w:basedOn w:val="Normal"/>
    <w:next w:val="Normal"/>
    <w:autoRedefine/>
    <w:uiPriority w:val="39"/>
    <w:unhideWhenUsed/>
    <w:pPr>
      <w:numPr>
        <w:numId w:val="0"/>
      </w:numPr>
      <w:spacing w:after="100" w:line="259" w:lineRule="auto"/>
      <w:ind w:left="1320"/>
      <w:jc w:val="left"/>
    </w:pPr>
    <w:rPr>
      <w:rFonts w:asciiTheme="minorHAnsi" w:eastAsiaTheme="minorEastAsia" w:hAnsiTheme="minorHAnsi" w:cstheme="minorBidi"/>
      <w:szCs w:val="22"/>
      <w:lang w:eastAsia="en-GB"/>
    </w:rPr>
  </w:style>
  <w:style w:type="paragraph" w:styleId="TOC8">
    <w:name w:val="toc 8"/>
    <w:basedOn w:val="Normal"/>
    <w:next w:val="Normal"/>
    <w:autoRedefine/>
    <w:uiPriority w:val="39"/>
    <w:unhideWhenUsed/>
    <w:pPr>
      <w:numPr>
        <w:numId w:val="0"/>
      </w:numPr>
      <w:spacing w:after="100" w:line="259" w:lineRule="auto"/>
      <w:ind w:left="1540"/>
      <w:jc w:val="left"/>
    </w:pPr>
    <w:rPr>
      <w:rFonts w:asciiTheme="minorHAnsi" w:eastAsiaTheme="minorEastAsia" w:hAnsiTheme="minorHAnsi" w:cstheme="minorBidi"/>
      <w:szCs w:val="22"/>
      <w:lang w:eastAsia="en-GB"/>
    </w:rPr>
  </w:style>
  <w:style w:type="paragraph" w:styleId="TOC9">
    <w:name w:val="toc 9"/>
    <w:basedOn w:val="Normal"/>
    <w:next w:val="Normal"/>
    <w:autoRedefine/>
    <w:uiPriority w:val="39"/>
    <w:unhideWhenUsed/>
    <w:pPr>
      <w:numPr>
        <w:numId w:val="0"/>
      </w:numPr>
      <w:spacing w:after="100" w:line="259" w:lineRule="auto"/>
      <w:ind w:left="1760"/>
      <w:jc w:val="left"/>
    </w:pPr>
    <w:rPr>
      <w:rFonts w:asciiTheme="minorHAnsi" w:eastAsiaTheme="minorEastAsia" w:hAnsiTheme="minorHAnsi" w:cstheme="minorBidi"/>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3239">
      <w:bodyDiv w:val="1"/>
      <w:marLeft w:val="0"/>
      <w:marRight w:val="0"/>
      <w:marTop w:val="0"/>
      <w:marBottom w:val="0"/>
      <w:divBdr>
        <w:top w:val="none" w:sz="0" w:space="0" w:color="auto"/>
        <w:left w:val="none" w:sz="0" w:space="0" w:color="auto"/>
        <w:bottom w:val="none" w:sz="0" w:space="0" w:color="auto"/>
        <w:right w:val="none" w:sz="0" w:space="0" w:color="auto"/>
      </w:divBdr>
    </w:div>
    <w:div w:id="392392919">
      <w:bodyDiv w:val="1"/>
      <w:marLeft w:val="0"/>
      <w:marRight w:val="0"/>
      <w:marTop w:val="0"/>
      <w:marBottom w:val="0"/>
      <w:divBdr>
        <w:top w:val="none" w:sz="0" w:space="0" w:color="auto"/>
        <w:left w:val="none" w:sz="0" w:space="0" w:color="auto"/>
        <w:bottom w:val="none" w:sz="0" w:space="0" w:color="auto"/>
        <w:right w:val="none" w:sz="0" w:space="0" w:color="auto"/>
      </w:divBdr>
    </w:div>
    <w:div w:id="505635019">
      <w:bodyDiv w:val="1"/>
      <w:marLeft w:val="0"/>
      <w:marRight w:val="0"/>
      <w:marTop w:val="0"/>
      <w:marBottom w:val="0"/>
      <w:divBdr>
        <w:top w:val="none" w:sz="0" w:space="0" w:color="auto"/>
        <w:left w:val="none" w:sz="0" w:space="0" w:color="auto"/>
        <w:bottom w:val="none" w:sz="0" w:space="0" w:color="auto"/>
        <w:right w:val="none" w:sz="0" w:space="0" w:color="auto"/>
      </w:divBdr>
    </w:div>
    <w:div w:id="897279535">
      <w:bodyDiv w:val="1"/>
      <w:marLeft w:val="0"/>
      <w:marRight w:val="0"/>
      <w:marTop w:val="0"/>
      <w:marBottom w:val="0"/>
      <w:divBdr>
        <w:top w:val="none" w:sz="0" w:space="0" w:color="auto"/>
        <w:left w:val="none" w:sz="0" w:space="0" w:color="auto"/>
        <w:bottom w:val="none" w:sz="0" w:space="0" w:color="auto"/>
        <w:right w:val="none" w:sz="0" w:space="0" w:color="auto"/>
      </w:divBdr>
    </w:div>
    <w:div w:id="1092822905">
      <w:bodyDiv w:val="1"/>
      <w:marLeft w:val="0"/>
      <w:marRight w:val="0"/>
      <w:marTop w:val="0"/>
      <w:marBottom w:val="0"/>
      <w:divBdr>
        <w:top w:val="none" w:sz="0" w:space="0" w:color="auto"/>
        <w:left w:val="none" w:sz="0" w:space="0" w:color="auto"/>
        <w:bottom w:val="none" w:sz="0" w:space="0" w:color="auto"/>
        <w:right w:val="none" w:sz="0" w:space="0" w:color="auto"/>
      </w:divBdr>
    </w:div>
    <w:div w:id="1155224392">
      <w:bodyDiv w:val="1"/>
      <w:marLeft w:val="0"/>
      <w:marRight w:val="0"/>
      <w:marTop w:val="0"/>
      <w:marBottom w:val="0"/>
      <w:divBdr>
        <w:top w:val="none" w:sz="0" w:space="0" w:color="auto"/>
        <w:left w:val="none" w:sz="0" w:space="0" w:color="auto"/>
        <w:bottom w:val="none" w:sz="0" w:space="0" w:color="auto"/>
        <w:right w:val="none" w:sz="0" w:space="0" w:color="auto"/>
      </w:divBdr>
      <w:divsChild>
        <w:div w:id="1758596219">
          <w:marLeft w:val="0"/>
          <w:marRight w:val="0"/>
          <w:marTop w:val="0"/>
          <w:marBottom w:val="0"/>
          <w:divBdr>
            <w:top w:val="none" w:sz="0" w:space="0" w:color="auto"/>
            <w:left w:val="none" w:sz="0" w:space="0" w:color="auto"/>
            <w:bottom w:val="none" w:sz="0" w:space="0" w:color="auto"/>
            <w:right w:val="none" w:sz="0" w:space="0" w:color="auto"/>
          </w:divBdr>
          <w:divsChild>
            <w:div w:id="913860858">
              <w:marLeft w:val="0"/>
              <w:marRight w:val="0"/>
              <w:marTop w:val="0"/>
              <w:marBottom w:val="0"/>
              <w:divBdr>
                <w:top w:val="none" w:sz="0" w:space="0" w:color="auto"/>
                <w:left w:val="none" w:sz="0" w:space="0" w:color="auto"/>
                <w:bottom w:val="none" w:sz="0" w:space="0" w:color="auto"/>
                <w:right w:val="none" w:sz="0" w:space="0" w:color="auto"/>
              </w:divBdr>
              <w:divsChild>
                <w:div w:id="2017883062">
                  <w:marLeft w:val="0"/>
                  <w:marRight w:val="0"/>
                  <w:marTop w:val="0"/>
                  <w:marBottom w:val="0"/>
                  <w:divBdr>
                    <w:top w:val="none" w:sz="0" w:space="0" w:color="auto"/>
                    <w:left w:val="none" w:sz="0" w:space="0" w:color="auto"/>
                    <w:bottom w:val="none" w:sz="0" w:space="0" w:color="auto"/>
                    <w:right w:val="none" w:sz="0" w:space="0" w:color="auto"/>
                  </w:divBdr>
                  <w:divsChild>
                    <w:div w:id="1773894381">
                      <w:marLeft w:val="0"/>
                      <w:marRight w:val="0"/>
                      <w:marTop w:val="45"/>
                      <w:marBottom w:val="0"/>
                      <w:divBdr>
                        <w:top w:val="none" w:sz="0" w:space="0" w:color="auto"/>
                        <w:left w:val="none" w:sz="0" w:space="0" w:color="auto"/>
                        <w:bottom w:val="none" w:sz="0" w:space="0" w:color="auto"/>
                        <w:right w:val="none" w:sz="0" w:space="0" w:color="auto"/>
                      </w:divBdr>
                      <w:divsChild>
                        <w:div w:id="1059590898">
                          <w:marLeft w:val="0"/>
                          <w:marRight w:val="0"/>
                          <w:marTop w:val="0"/>
                          <w:marBottom w:val="0"/>
                          <w:divBdr>
                            <w:top w:val="none" w:sz="0" w:space="0" w:color="auto"/>
                            <w:left w:val="none" w:sz="0" w:space="0" w:color="auto"/>
                            <w:bottom w:val="none" w:sz="0" w:space="0" w:color="auto"/>
                            <w:right w:val="none" w:sz="0" w:space="0" w:color="auto"/>
                          </w:divBdr>
                          <w:divsChild>
                            <w:div w:id="1258052429">
                              <w:marLeft w:val="2070"/>
                              <w:marRight w:val="3960"/>
                              <w:marTop w:val="0"/>
                              <w:marBottom w:val="0"/>
                              <w:divBdr>
                                <w:top w:val="none" w:sz="0" w:space="0" w:color="auto"/>
                                <w:left w:val="none" w:sz="0" w:space="0" w:color="auto"/>
                                <w:bottom w:val="none" w:sz="0" w:space="0" w:color="auto"/>
                                <w:right w:val="none" w:sz="0" w:space="0" w:color="auto"/>
                              </w:divBdr>
                              <w:divsChild>
                                <w:div w:id="2064981313">
                                  <w:marLeft w:val="0"/>
                                  <w:marRight w:val="0"/>
                                  <w:marTop w:val="0"/>
                                  <w:marBottom w:val="0"/>
                                  <w:divBdr>
                                    <w:top w:val="none" w:sz="0" w:space="0" w:color="auto"/>
                                    <w:left w:val="none" w:sz="0" w:space="0" w:color="auto"/>
                                    <w:bottom w:val="none" w:sz="0" w:space="0" w:color="auto"/>
                                    <w:right w:val="none" w:sz="0" w:space="0" w:color="auto"/>
                                  </w:divBdr>
                                  <w:divsChild>
                                    <w:div w:id="109785765">
                                      <w:marLeft w:val="0"/>
                                      <w:marRight w:val="0"/>
                                      <w:marTop w:val="0"/>
                                      <w:marBottom w:val="0"/>
                                      <w:divBdr>
                                        <w:top w:val="none" w:sz="0" w:space="0" w:color="auto"/>
                                        <w:left w:val="none" w:sz="0" w:space="0" w:color="auto"/>
                                        <w:bottom w:val="none" w:sz="0" w:space="0" w:color="auto"/>
                                        <w:right w:val="none" w:sz="0" w:space="0" w:color="auto"/>
                                      </w:divBdr>
                                      <w:divsChild>
                                        <w:div w:id="1409501092">
                                          <w:marLeft w:val="0"/>
                                          <w:marRight w:val="0"/>
                                          <w:marTop w:val="0"/>
                                          <w:marBottom w:val="0"/>
                                          <w:divBdr>
                                            <w:top w:val="none" w:sz="0" w:space="0" w:color="auto"/>
                                            <w:left w:val="none" w:sz="0" w:space="0" w:color="auto"/>
                                            <w:bottom w:val="none" w:sz="0" w:space="0" w:color="auto"/>
                                            <w:right w:val="none" w:sz="0" w:space="0" w:color="auto"/>
                                          </w:divBdr>
                                          <w:divsChild>
                                            <w:div w:id="1724519828">
                                              <w:marLeft w:val="0"/>
                                              <w:marRight w:val="0"/>
                                              <w:marTop w:val="90"/>
                                              <w:marBottom w:val="0"/>
                                              <w:divBdr>
                                                <w:top w:val="none" w:sz="0" w:space="0" w:color="auto"/>
                                                <w:left w:val="none" w:sz="0" w:space="0" w:color="auto"/>
                                                <w:bottom w:val="none" w:sz="0" w:space="0" w:color="auto"/>
                                                <w:right w:val="none" w:sz="0" w:space="0" w:color="auto"/>
                                              </w:divBdr>
                                              <w:divsChild>
                                                <w:div w:id="773746425">
                                                  <w:marLeft w:val="0"/>
                                                  <w:marRight w:val="0"/>
                                                  <w:marTop w:val="0"/>
                                                  <w:marBottom w:val="0"/>
                                                  <w:divBdr>
                                                    <w:top w:val="none" w:sz="0" w:space="0" w:color="auto"/>
                                                    <w:left w:val="none" w:sz="0" w:space="0" w:color="auto"/>
                                                    <w:bottom w:val="none" w:sz="0" w:space="0" w:color="auto"/>
                                                    <w:right w:val="none" w:sz="0" w:space="0" w:color="auto"/>
                                                  </w:divBdr>
                                                  <w:divsChild>
                                                    <w:div w:id="279341702">
                                                      <w:marLeft w:val="0"/>
                                                      <w:marRight w:val="0"/>
                                                      <w:marTop w:val="0"/>
                                                      <w:marBottom w:val="0"/>
                                                      <w:divBdr>
                                                        <w:top w:val="none" w:sz="0" w:space="0" w:color="auto"/>
                                                        <w:left w:val="none" w:sz="0" w:space="0" w:color="auto"/>
                                                        <w:bottom w:val="none" w:sz="0" w:space="0" w:color="auto"/>
                                                        <w:right w:val="none" w:sz="0" w:space="0" w:color="auto"/>
                                                      </w:divBdr>
                                                      <w:divsChild>
                                                        <w:div w:id="1719166376">
                                                          <w:marLeft w:val="0"/>
                                                          <w:marRight w:val="0"/>
                                                          <w:marTop w:val="0"/>
                                                          <w:marBottom w:val="390"/>
                                                          <w:divBdr>
                                                            <w:top w:val="none" w:sz="0" w:space="0" w:color="auto"/>
                                                            <w:left w:val="none" w:sz="0" w:space="0" w:color="auto"/>
                                                            <w:bottom w:val="none" w:sz="0" w:space="0" w:color="auto"/>
                                                            <w:right w:val="none" w:sz="0" w:space="0" w:color="auto"/>
                                                          </w:divBdr>
                                                          <w:divsChild>
                                                            <w:div w:id="893614201">
                                                              <w:marLeft w:val="0"/>
                                                              <w:marRight w:val="0"/>
                                                              <w:marTop w:val="0"/>
                                                              <w:marBottom w:val="0"/>
                                                              <w:divBdr>
                                                                <w:top w:val="none" w:sz="0" w:space="0" w:color="auto"/>
                                                                <w:left w:val="none" w:sz="0" w:space="0" w:color="auto"/>
                                                                <w:bottom w:val="none" w:sz="0" w:space="0" w:color="auto"/>
                                                                <w:right w:val="none" w:sz="0" w:space="0" w:color="auto"/>
                                                              </w:divBdr>
                                                              <w:divsChild>
                                                                <w:div w:id="1081298477">
                                                                  <w:marLeft w:val="0"/>
                                                                  <w:marRight w:val="0"/>
                                                                  <w:marTop w:val="0"/>
                                                                  <w:marBottom w:val="0"/>
                                                                  <w:divBdr>
                                                                    <w:top w:val="none" w:sz="0" w:space="0" w:color="auto"/>
                                                                    <w:left w:val="none" w:sz="0" w:space="0" w:color="auto"/>
                                                                    <w:bottom w:val="none" w:sz="0" w:space="0" w:color="auto"/>
                                                                    <w:right w:val="none" w:sz="0" w:space="0" w:color="auto"/>
                                                                  </w:divBdr>
                                                                  <w:divsChild>
                                                                    <w:div w:id="956988600">
                                                                      <w:marLeft w:val="0"/>
                                                                      <w:marRight w:val="0"/>
                                                                      <w:marTop w:val="0"/>
                                                                      <w:marBottom w:val="0"/>
                                                                      <w:divBdr>
                                                                        <w:top w:val="none" w:sz="0" w:space="0" w:color="auto"/>
                                                                        <w:left w:val="none" w:sz="0" w:space="0" w:color="auto"/>
                                                                        <w:bottom w:val="none" w:sz="0" w:space="0" w:color="auto"/>
                                                                        <w:right w:val="none" w:sz="0" w:space="0" w:color="auto"/>
                                                                      </w:divBdr>
                                                                      <w:divsChild>
                                                                        <w:div w:id="1071007523">
                                                                          <w:marLeft w:val="0"/>
                                                                          <w:marRight w:val="0"/>
                                                                          <w:marTop w:val="0"/>
                                                                          <w:marBottom w:val="0"/>
                                                                          <w:divBdr>
                                                                            <w:top w:val="none" w:sz="0" w:space="0" w:color="auto"/>
                                                                            <w:left w:val="none" w:sz="0" w:space="0" w:color="auto"/>
                                                                            <w:bottom w:val="none" w:sz="0" w:space="0" w:color="auto"/>
                                                                            <w:right w:val="none" w:sz="0" w:space="0" w:color="auto"/>
                                                                          </w:divBdr>
                                                                          <w:divsChild>
                                                                            <w:div w:id="364839981">
                                                                              <w:marLeft w:val="0"/>
                                                                              <w:marRight w:val="0"/>
                                                                              <w:marTop w:val="0"/>
                                                                              <w:marBottom w:val="0"/>
                                                                              <w:divBdr>
                                                                                <w:top w:val="none" w:sz="0" w:space="0" w:color="auto"/>
                                                                                <w:left w:val="none" w:sz="0" w:space="0" w:color="auto"/>
                                                                                <w:bottom w:val="none" w:sz="0" w:space="0" w:color="auto"/>
                                                                                <w:right w:val="none" w:sz="0" w:space="0" w:color="auto"/>
                                                                              </w:divBdr>
                                                                              <w:divsChild>
                                                                                <w:div w:id="145236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77695416">
      <w:bodyDiv w:val="1"/>
      <w:marLeft w:val="0"/>
      <w:marRight w:val="0"/>
      <w:marTop w:val="0"/>
      <w:marBottom w:val="0"/>
      <w:divBdr>
        <w:top w:val="none" w:sz="0" w:space="0" w:color="auto"/>
        <w:left w:val="none" w:sz="0" w:space="0" w:color="auto"/>
        <w:bottom w:val="none" w:sz="0" w:space="0" w:color="auto"/>
        <w:right w:val="none" w:sz="0" w:space="0" w:color="auto"/>
      </w:divBdr>
    </w:div>
    <w:div w:id="1268537493">
      <w:bodyDiv w:val="1"/>
      <w:marLeft w:val="0"/>
      <w:marRight w:val="0"/>
      <w:marTop w:val="0"/>
      <w:marBottom w:val="0"/>
      <w:divBdr>
        <w:top w:val="none" w:sz="0" w:space="0" w:color="auto"/>
        <w:left w:val="none" w:sz="0" w:space="0" w:color="auto"/>
        <w:bottom w:val="none" w:sz="0" w:space="0" w:color="auto"/>
        <w:right w:val="none" w:sz="0" w:space="0" w:color="auto"/>
      </w:divBdr>
    </w:div>
    <w:div w:id="1285621665">
      <w:bodyDiv w:val="1"/>
      <w:marLeft w:val="0"/>
      <w:marRight w:val="0"/>
      <w:marTop w:val="0"/>
      <w:marBottom w:val="0"/>
      <w:divBdr>
        <w:top w:val="none" w:sz="0" w:space="0" w:color="auto"/>
        <w:left w:val="none" w:sz="0" w:space="0" w:color="auto"/>
        <w:bottom w:val="none" w:sz="0" w:space="0" w:color="auto"/>
        <w:right w:val="none" w:sz="0" w:space="0" w:color="auto"/>
      </w:divBdr>
    </w:div>
    <w:div w:id="1860004457">
      <w:bodyDiv w:val="1"/>
      <w:marLeft w:val="0"/>
      <w:marRight w:val="0"/>
      <w:marTop w:val="0"/>
      <w:marBottom w:val="0"/>
      <w:divBdr>
        <w:top w:val="none" w:sz="0" w:space="0" w:color="auto"/>
        <w:left w:val="none" w:sz="0" w:space="0" w:color="auto"/>
        <w:bottom w:val="none" w:sz="0" w:space="0" w:color="auto"/>
        <w:right w:val="none" w:sz="0" w:space="0" w:color="auto"/>
      </w:divBdr>
    </w:div>
    <w:div w:id="18712578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29.jpeg"/><Relationship Id="rId21" Type="http://schemas.openxmlformats.org/officeDocument/2006/relationships/image" Target="media/image12.emf"/><Relationship Id="rId34" Type="http://schemas.openxmlformats.org/officeDocument/2006/relationships/image" Target="media/image25.png"/><Relationship Id="rId42" Type="http://schemas.openxmlformats.org/officeDocument/2006/relationships/image" Target="media/image32.emf"/><Relationship Id="rId47" Type="http://schemas.openxmlformats.org/officeDocument/2006/relationships/image" Target="media/image35.jpe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jpeg"/><Relationship Id="rId68" Type="http://schemas.openxmlformats.org/officeDocument/2006/relationships/theme" Target="theme/theme1.xml"/><Relationship Id="rId7" Type="http://schemas.openxmlformats.org/officeDocument/2006/relationships/image" Target="media/image2.tiff"/><Relationship Id="rId2" Type="http://schemas.openxmlformats.org/officeDocument/2006/relationships/styles" Target="styles.xml"/><Relationship Id="rId16" Type="http://schemas.openxmlformats.org/officeDocument/2006/relationships/hyperlink" Target="http://ec.europa.eu/research/participants/portal/desktop/en/opportunities/h2020/topics/lc-sc3-res-22-2018.html" TargetMode="External"/><Relationship Id="rId29" Type="http://schemas.openxmlformats.org/officeDocument/2006/relationships/image" Target="media/image20.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hyperlink" Target="http://www.google.be/url?sa=i&amp;rct=j&amp;q=&amp;esrc=s&amp;source=images&amp;cd=&amp;cad=rja&amp;uact=8&amp;ved=2ahUKEwiZycjg5PbZAhXCL1AKHUH9C-gQjRx6BAgAEAU&amp;url=http://ethanolproducer.com/articles/9999/abengoa-inaugurates-w2b-demonstration-plant&amp;psig=AOvVaw3_zLZrgUaPvxIRDSy9ltXG&amp;ust=1521493937863807" TargetMode="External"/><Relationship Id="rId40" Type="http://schemas.openxmlformats.org/officeDocument/2006/relationships/image" Target="media/image30.jpeg"/><Relationship Id="rId45" Type="http://schemas.openxmlformats.org/officeDocument/2006/relationships/image" Target="media/image34.emf"/><Relationship Id="rId53" Type="http://schemas.openxmlformats.org/officeDocument/2006/relationships/image" Target="media/image41.emf"/><Relationship Id="rId58" Type="http://schemas.openxmlformats.org/officeDocument/2006/relationships/image" Target="media/image46.emf"/><Relationship Id="rId66"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www.dbtindia.nic.in/dbt-ec_h2020_call_2017-18/" TargetMode="External"/><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37.png"/><Relationship Id="rId57" Type="http://schemas.openxmlformats.org/officeDocument/2006/relationships/image" Target="media/image45.jpeg"/><Relationship Id="rId61" Type="http://schemas.openxmlformats.org/officeDocument/2006/relationships/image" Target="media/image49.jpeg"/><Relationship Id="rId10" Type="http://schemas.openxmlformats.org/officeDocument/2006/relationships/image" Target="media/image4.jpeg"/><Relationship Id="rId19" Type="http://schemas.openxmlformats.org/officeDocument/2006/relationships/image" Target="media/image10.emf"/><Relationship Id="rId31" Type="http://schemas.openxmlformats.org/officeDocument/2006/relationships/image" Target="media/image22.jpeg"/><Relationship Id="rId44" Type="http://schemas.openxmlformats.org/officeDocument/2006/relationships/image" Target="media/image33.png"/><Relationship Id="rId52" Type="http://schemas.openxmlformats.org/officeDocument/2006/relationships/image" Target="media/image40.emf"/><Relationship Id="rId60" Type="http://schemas.openxmlformats.org/officeDocument/2006/relationships/image" Target="media/image48.jpeg"/><Relationship Id="rId65" Type="http://schemas.openxmlformats.org/officeDocument/2006/relationships/footer" Target="footer1.xml"/><Relationship Id="rId4" Type="http://schemas.openxmlformats.org/officeDocument/2006/relationships/webSettings" Target="webSettings.xml"/><Relationship Id="rId14" Type="http://schemas.openxmlformats.org/officeDocument/2006/relationships/image" Target="media/image7.jpeg"/><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hyperlink" Target="https://www.google.be/url?sa=i&amp;rct=j&amp;q=&amp;esrc=s&amp;source=images&amp;cd=&amp;cad=rja&amp;uact=8&amp;ved=2ahUKEwjvk7Hb8PfZAhVBzaQKHXWnASAQjRx6BAgAEAU&amp;url=https://biorefiningalliance.com/new-data-from-inbicon-show-good-results/?lang=en&amp;psig=AOvVaw0jA4BPANO-nIKEfOvfpFBz&amp;ust=1521531473505554" TargetMode="External"/><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header" Target="header1.xml"/><Relationship Id="rId8" Type="http://schemas.openxmlformats.org/officeDocument/2006/relationships/image" Target="media/image3.jpeg"/><Relationship Id="rId51" Type="http://schemas.openxmlformats.org/officeDocument/2006/relationships/image" Target="media/image39.emf"/><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png"/><Relationship Id="rId38" Type="http://schemas.openxmlformats.org/officeDocument/2006/relationships/image" Target="media/image28.jpeg"/><Relationship Id="rId46" Type="http://schemas.openxmlformats.org/officeDocument/2006/relationships/hyperlink" Target="https://www.chemicals-technology.com/projects/futurol-project/" TargetMode="External"/><Relationship Id="rId59" Type="http://schemas.openxmlformats.org/officeDocument/2006/relationships/image" Target="media/image47.jpeg"/><Relationship Id="rId67" Type="http://schemas.openxmlformats.org/officeDocument/2006/relationships/fontTable" Target="fontTable.xml"/><Relationship Id="rId20" Type="http://schemas.openxmlformats.org/officeDocument/2006/relationships/image" Target="media/image11.emf"/><Relationship Id="rId41" Type="http://schemas.openxmlformats.org/officeDocument/2006/relationships/image" Target="media/image31.emf"/><Relationship Id="rId54" Type="http://schemas.openxmlformats.org/officeDocument/2006/relationships/image" Target="media/image42.emf"/><Relationship Id="rId62" Type="http://schemas.openxmlformats.org/officeDocument/2006/relationships/image" Target="media/image50.jpeg"/></Relationships>
</file>

<file path=word/_rels/footnotes.xml.rels><?xml version="1.0" encoding="UTF-8" standalone="yes"?>
<Relationships xmlns="http://schemas.openxmlformats.org/package/2006/relationships"><Relationship Id="rId26" Type="http://schemas.openxmlformats.org/officeDocument/2006/relationships/hyperlink" Target="https://eeas.europa.eu/sites/eeas/files/eu_india_factsheet.pdf" TargetMode="External"/><Relationship Id="rId117" Type="http://schemas.openxmlformats.org/officeDocument/2006/relationships/hyperlink" Target="https://www.clariant.com/sunliquid" TargetMode="External"/><Relationship Id="rId21" Type="http://schemas.openxmlformats.org/officeDocument/2006/relationships/hyperlink" Target="https://mnre.gov.in/file-manager/UserFiles/draft-rea-2015.pdf" TargetMode="External"/><Relationship Id="rId42" Type="http://schemas.openxmlformats.org/officeDocument/2006/relationships/hyperlink" Target="http://www.abengoabioenergy.com/web/en/prensa/noticias/historico/2005/200510_noticias.html" TargetMode="External"/><Relationship Id="rId47" Type="http://schemas.openxmlformats.org/officeDocument/2006/relationships/hyperlink" Target="http://www.dupont.com/" TargetMode="External"/><Relationship Id="rId63" Type="http://schemas.openxmlformats.org/officeDocument/2006/relationships/hyperlink" Target="http://eeas.europa.eu/archives/delegations/india/documents/h2020_brochure-india-aug_2014.pdf" TargetMode="External"/><Relationship Id="rId68" Type="http://schemas.openxmlformats.org/officeDocument/2006/relationships/hyperlink" Target="https://www.nasa.gov/directorates/heo/scan/engineering/technology/txt_accordion1.html" TargetMode="External"/><Relationship Id="rId84" Type="http://schemas.openxmlformats.org/officeDocument/2006/relationships/hyperlink" Target="https://www.topsoe.com" TargetMode="External"/><Relationship Id="rId89" Type="http://schemas.openxmlformats.org/officeDocument/2006/relationships/hyperlink" Target="https://www3.fortum.com/about-us/our-company/our-energy-production/our-power-plants/joensuu-chp-plant" TargetMode="External"/><Relationship Id="rId112" Type="http://schemas.openxmlformats.org/officeDocument/2006/relationships/hyperlink" Target="http://www.biofuelsdigest.com/bdigest/2013/07/01/abengoa-completes-waste-to-biofuels-demo-plant-in-spain/" TargetMode="External"/><Relationship Id="rId133" Type="http://schemas.openxmlformats.org/officeDocument/2006/relationships/hyperlink" Target="http://www.biogest.at/" TargetMode="External"/><Relationship Id="rId138" Type="http://schemas.openxmlformats.org/officeDocument/2006/relationships/hyperlink" Target="http://publications.jrc.ec.europa.eu/repository/bitstream/JRC98760/algae_biofuels_report_21122015.pdf" TargetMode="External"/><Relationship Id="rId16" Type="http://schemas.openxmlformats.org/officeDocument/2006/relationships/hyperlink" Target="http://ppac.org.in/WriteReadData/userfiles/file/Govt_Link12.pdf" TargetMode="External"/><Relationship Id="rId107" Type="http://schemas.openxmlformats.org/officeDocument/2006/relationships/hyperlink" Target="http://www.betarenewables.com/en/proesa/what-is-it" TargetMode="External"/><Relationship Id="rId11" Type="http://schemas.openxmlformats.org/officeDocument/2006/relationships/hyperlink" Target="https://ec.europa.eu/energy/en/news/commission-proposes-new-rules-consumer-centred-clean-energy-transition" TargetMode="External"/><Relationship Id="rId32" Type="http://schemas.openxmlformats.org/officeDocument/2006/relationships/hyperlink" Target="http://imprint-india.org/" TargetMode="External"/><Relationship Id="rId37" Type="http://schemas.openxmlformats.org/officeDocument/2006/relationships/hyperlink" Target="http://ec.europa.eu/research/participants/data/ref/h2020/grants_manual/hi/3cpart/h2020-hi-list-ac_en.pdf" TargetMode="External"/><Relationship Id="rId53" Type="http://schemas.openxmlformats.org/officeDocument/2006/relationships/hyperlink" Target="https://indigoprojects.eu/object/news/139" TargetMode="External"/><Relationship Id="rId58" Type="http://schemas.openxmlformats.org/officeDocument/2006/relationships/hyperlink" Target="https://www.bbi-europe.eu/" TargetMode="External"/><Relationship Id="rId74" Type="http://schemas.openxmlformats.org/officeDocument/2006/relationships/hyperlink" Target="http://www.valmet.com/" TargetMode="External"/><Relationship Id="rId79" Type="http://schemas.openxmlformats.org/officeDocument/2006/relationships/hyperlink" Target="https://www.nationalgrid.com/uk/ga" TargetMode="External"/><Relationship Id="rId102" Type="http://schemas.openxmlformats.org/officeDocument/2006/relationships/hyperlink" Target="https://www.cpcl.co.in/ManaliRefinery" TargetMode="External"/><Relationship Id="rId123" Type="http://schemas.openxmlformats.org/officeDocument/2006/relationships/hyperlink" Target="http://www.neot.fi/" TargetMode="External"/><Relationship Id="rId128" Type="http://schemas.openxmlformats.org/officeDocument/2006/relationships/hyperlink" Target="https://www.axens.net/" TargetMode="External"/><Relationship Id="rId5" Type="http://schemas.openxmlformats.org/officeDocument/2006/relationships/hyperlink" Target="https://ec.europa.eu/energy/en/home" TargetMode="External"/><Relationship Id="rId90" Type="http://schemas.openxmlformats.org/officeDocument/2006/relationships/hyperlink" Target="https://www.btg-btl.com/en/company/projects/empyro" TargetMode="External"/><Relationship Id="rId95" Type="http://schemas.openxmlformats.org/officeDocument/2006/relationships/hyperlink" Target="https://www.eni.com/en_IT/innovation/technological-platforms/green-refinery.page" TargetMode="External"/><Relationship Id="rId22" Type="http://schemas.openxmlformats.org/officeDocument/2006/relationships/hyperlink" Target="https://mnre.gov.in/file-manager/UserFiles/draft-rea-2015.pdf" TargetMode="External"/><Relationship Id="rId27" Type="http://schemas.openxmlformats.org/officeDocument/2006/relationships/hyperlink" Target="https://www.consilium.europa.eu/media/23517/eu-india-joint-declaration-climate-and-energy.pdf" TargetMode="External"/><Relationship Id="rId43" Type="http://schemas.openxmlformats.org/officeDocument/2006/relationships/hyperlink" Target="http://www.hpj.com/ag_news/hugoton-cellulosic-ethanol-plant-sold-out-of-bankruptcy/article_ae8fb952-c85f-11e6-87dc-0b12cf1982e3.html" TargetMode="External"/><Relationship Id="rId48" Type="http://schemas.openxmlformats.org/officeDocument/2006/relationships/hyperlink" Target="http://biosciences.dupont.com/about-us/history/" TargetMode="External"/><Relationship Id="rId64" Type="http://schemas.openxmlformats.org/officeDocument/2006/relationships/hyperlink" Target="https://ec.europa.eu/programmes/horizon2020/en/h2020-section/access-risk-finance" TargetMode="External"/><Relationship Id="rId69" Type="http://schemas.openxmlformats.org/officeDocument/2006/relationships/hyperlink" Target="https://ec.europa.eu/research/participants/data/ref/h2020/wp/2014_2015/annexes/h2020-wp1415-annex-g-trl_en.pdf" TargetMode="External"/><Relationship Id="rId113" Type="http://schemas.openxmlformats.org/officeDocument/2006/relationships/hyperlink" Target="http://www.abengoabioenergy.com/web/en/2g_hugoton_project/" TargetMode="External"/><Relationship Id="rId118" Type="http://schemas.openxmlformats.org/officeDocument/2006/relationships/hyperlink" Target="https://www.enviengroup.eu/en/" TargetMode="External"/><Relationship Id="rId134" Type="http://schemas.openxmlformats.org/officeDocument/2006/relationships/hyperlink" Target="http://verbio.com/verbio/?lang=en" TargetMode="External"/><Relationship Id="rId139" Type="http://schemas.openxmlformats.org/officeDocument/2006/relationships/hyperlink" Target="http://www.enalgae.eu/public-deliverables.htm" TargetMode="External"/><Relationship Id="rId8" Type="http://schemas.openxmlformats.org/officeDocument/2006/relationships/hyperlink" Target="http://ec.europa.eu/environment/archives/autooil/index.htm" TargetMode="External"/><Relationship Id="rId51" Type="http://schemas.openxmlformats.org/officeDocument/2006/relationships/hyperlink" Target="http://www.choren.com/en/company.html" TargetMode="External"/><Relationship Id="rId72" Type="http://schemas.openxmlformats.org/officeDocument/2006/relationships/hyperlink" Target="https://gobigas.goteborgenergi.se/English_version/Start" TargetMode="External"/><Relationship Id="rId80" Type="http://schemas.openxmlformats.org/officeDocument/2006/relationships/hyperlink" Target="http://advancedplasmapower.com/about-us/our-company/" TargetMode="External"/><Relationship Id="rId85" Type="http://schemas.openxmlformats.org/officeDocument/2006/relationships/hyperlink" Target="https://www.ltu.se/?l=en" TargetMode="External"/><Relationship Id="rId93" Type="http://schemas.openxmlformats.org/officeDocument/2006/relationships/hyperlink" Target="https://www.neste.com/" TargetMode="External"/><Relationship Id="rId98" Type="http://schemas.openxmlformats.org/officeDocument/2006/relationships/hyperlink" Target="https://blog.topsoe.com/2015/03/wood-based-renewable-diesel-bio-refinery-goes-stream-finland" TargetMode="External"/><Relationship Id="rId121" Type="http://schemas.openxmlformats.org/officeDocument/2006/relationships/hyperlink" Target="https://orsted.com/en/About-us" TargetMode="External"/><Relationship Id="rId142" Type="http://schemas.openxmlformats.org/officeDocument/2006/relationships/hyperlink" Target="http://www.phycospectrum.in/industrial-projects" TargetMode="External"/><Relationship Id="rId3" Type="http://schemas.openxmlformats.org/officeDocument/2006/relationships/hyperlink" Target="http://exergia.gr/" TargetMode="External"/><Relationship Id="rId12" Type="http://schemas.openxmlformats.org/officeDocument/2006/relationships/hyperlink" Target="http://eur-lex.europa.eu/legal-content/EN/TXT/PDF/?uri=CELEX:52016PC0767R(01)&amp;from=EN" TargetMode="External"/><Relationship Id="rId17" Type="http://schemas.openxmlformats.org/officeDocument/2006/relationships/hyperlink" Target="http://planningcommission.nic.in/reports/genrep/cmtt_bio.pdf" TargetMode="External"/><Relationship Id="rId25" Type="http://schemas.openxmlformats.org/officeDocument/2006/relationships/hyperlink" Target="http://ec.europa.eu/research/iscp/pdf/policy/india_agreement.pdf" TargetMode="External"/><Relationship Id="rId33" Type="http://schemas.openxmlformats.org/officeDocument/2006/relationships/hyperlink" Target="http://www.euindiacoop.org/" TargetMode="External"/><Relationship Id="rId38" Type="http://schemas.openxmlformats.org/officeDocument/2006/relationships/hyperlink" Target="https://ec.europa.eu/research/evaluations/pdf/archive/fp7-ex-post_evaluation/commission_communication_1_en_act_part1.pdf" TargetMode="External"/><Relationship Id="rId46" Type="http://schemas.openxmlformats.org/officeDocument/2006/relationships/hyperlink" Target="https://www.dsm.com/corporate/home.html" TargetMode="External"/><Relationship Id="rId59" Type="http://schemas.openxmlformats.org/officeDocument/2006/relationships/hyperlink" Target="https://ec.europa.eu/info/funding-tenders/funding-opportunities/funding-programmes/overview-funding-programmes/european-structural-and-investment-funds_en" TargetMode="External"/><Relationship Id="rId67" Type="http://schemas.openxmlformats.org/officeDocument/2006/relationships/hyperlink" Target="https://ec.europa.eu/clima/consultations/public-consultation-establishment-innovation-fund_en" TargetMode="External"/><Relationship Id="rId103" Type="http://schemas.openxmlformats.org/officeDocument/2006/relationships/hyperlink" Target="https://www.cpcl.co.in/" TargetMode="External"/><Relationship Id="rId108" Type="http://schemas.openxmlformats.org/officeDocument/2006/relationships/hyperlink" Target="http://www.betarenewables.com/en/media-relations/news-detail/32" TargetMode="External"/><Relationship Id="rId116" Type="http://schemas.openxmlformats.org/officeDocument/2006/relationships/hyperlink" Target="http://poet-dsm.com/liberty" TargetMode="External"/><Relationship Id="rId124" Type="http://schemas.openxmlformats.org/officeDocument/2006/relationships/hyperlink" Target="http://www.st1biofuels.com/company/news/st1s-and-soks-joint-venture-neb-plans-50-million-litre-cellunolix-bioethanol-pla" TargetMode="External"/><Relationship Id="rId129" Type="http://schemas.openxmlformats.org/officeDocument/2006/relationships/hyperlink" Target="https://www.praj.net" TargetMode="External"/><Relationship Id="rId137" Type="http://schemas.openxmlformats.org/officeDocument/2006/relationships/hyperlink" Target="http://www.ieabioenergy.com/wp-content/uploads/2017/02/IEA-Bioenergy-Algae-report-update-Final-template-20170131.pdf" TargetMode="External"/><Relationship Id="rId20" Type="http://schemas.openxmlformats.org/officeDocument/2006/relationships/hyperlink" Target="https://mnre.gov.in/sites/default/files/uploads/discontinuing-biofuels-programme-in-the-MNRE.pdf" TargetMode="External"/><Relationship Id="rId41" Type="http://schemas.openxmlformats.org/officeDocument/2006/relationships/hyperlink" Target="http://www.abengoabioenergy.com/web/en/2g_hugoton_project/" TargetMode="External"/><Relationship Id="rId54" Type="http://schemas.openxmlformats.org/officeDocument/2006/relationships/hyperlink" Target="https://ec.europa.eu/programmes/horizon2020/" TargetMode="External"/><Relationship Id="rId62" Type="http://schemas.openxmlformats.org/officeDocument/2006/relationships/hyperlink" Target="http://ec.europa.eu/research/participants/data/ref/h2020/other/hi/h2020_localsupp_india_en.pdf" TargetMode="External"/><Relationship Id="rId70" Type="http://schemas.openxmlformats.org/officeDocument/2006/relationships/hyperlink" Target="http://ec.europa.eu/research/participants/portal/desktop/en/home.html" TargetMode="External"/><Relationship Id="rId75" Type="http://schemas.openxmlformats.org/officeDocument/2006/relationships/hyperlink" Target="https://www.total.com/en/energy-expertise/projects/bioenergies/biotfuel-converting-plant-wastes-into-fuel" TargetMode="External"/><Relationship Id="rId83" Type="http://schemas.openxmlformats.org/officeDocument/2006/relationships/hyperlink" Target="http://biofuel.org.uk/Chemrec.html" TargetMode="External"/><Relationship Id="rId88" Type="http://schemas.openxmlformats.org/officeDocument/2006/relationships/hyperlink" Target="https://www.engineering-airliquide.com" TargetMode="External"/><Relationship Id="rId91" Type="http://schemas.openxmlformats.org/officeDocument/2006/relationships/hyperlink" Target="http://www.btgworld.com/en/news/article?id=105" TargetMode="External"/><Relationship Id="rId96" Type="http://schemas.openxmlformats.org/officeDocument/2006/relationships/hyperlink" Target="https://www.uop.com/processing-solutions/renewables/green-diesel/" TargetMode="External"/><Relationship Id="rId111" Type="http://schemas.openxmlformats.org/officeDocument/2006/relationships/hyperlink" Target="http://www.abengoabioenergy.com/web/en/acerca_de/" TargetMode="External"/><Relationship Id="rId132" Type="http://schemas.openxmlformats.org/officeDocument/2006/relationships/hyperlink" Target="https://vimeo.com/144843151" TargetMode="External"/><Relationship Id="rId140" Type="http://schemas.openxmlformats.org/officeDocument/2006/relationships/hyperlink" Target="https://ec.europa.eu/energy/sites/ener/files/documents/ENER_C2_2012_421_1.pdf" TargetMode="External"/><Relationship Id="rId1" Type="http://schemas.openxmlformats.org/officeDocument/2006/relationships/hyperlink" Target="http://artfuelsforum.eu" TargetMode="External"/><Relationship Id="rId6" Type="http://schemas.openxmlformats.org/officeDocument/2006/relationships/hyperlink" Target="https://ec.europa.eu/info/events/eu-india-conference-advanced-biofuels-2018-mar-07_en" TargetMode="External"/><Relationship Id="rId15" Type="http://schemas.openxmlformats.org/officeDocument/2006/relationships/hyperlink" Target="http://pib.nic.in/newsite/erelcontent.aspx?relid=128" TargetMode="External"/><Relationship Id="rId23" Type="http://schemas.openxmlformats.org/officeDocument/2006/relationships/hyperlink" Target="http://pib.nic.in/newsite/PrintRelease.aspx?relid=179313" TargetMode="External"/><Relationship Id="rId28" Type="http://schemas.openxmlformats.org/officeDocument/2006/relationships/hyperlink" Target="http://ec.europa.eu/research/iscp/pdf/policy/india_agreement.pdf" TargetMode="External"/><Relationship Id="rId36" Type="http://schemas.openxmlformats.org/officeDocument/2006/relationships/hyperlink" Target="http://www.phycospectrum.in/industrial-projects" TargetMode="External"/><Relationship Id="rId49" Type="http://schemas.openxmlformats.org/officeDocument/2006/relationships/hyperlink" Target="http://www.biofuelsdigest.com/bdigest/2017/11/02/breaking-news-dowdupont-to-exit-cellulosic-ethanol-business/" TargetMode="External"/><Relationship Id="rId57" Type="http://schemas.openxmlformats.org/officeDocument/2006/relationships/hyperlink" Target="http://ec.europa.eu/research/participants/data/ref/h2020/wp/2018-2020/main/h2020-wp1820-energy_en.pdf" TargetMode="External"/><Relationship Id="rId106" Type="http://schemas.openxmlformats.org/officeDocument/2006/relationships/hyperlink" Target="http://www.gruppomg.com/en" TargetMode="External"/><Relationship Id="rId114" Type="http://schemas.openxmlformats.org/officeDocument/2006/relationships/hyperlink" Target="http://www.biofuelsdigest.com/bdigest/2016/07/18/abengoas-hugoton-cellulosic-ethanol-project-goes-on-the-block/" TargetMode="External"/><Relationship Id="rId119" Type="http://schemas.openxmlformats.org/officeDocument/2006/relationships/hyperlink" Target="https://www.borregaard.com" TargetMode="External"/><Relationship Id="rId127" Type="http://schemas.openxmlformats.org/officeDocument/2006/relationships/hyperlink" Target="https://tereos.com/en" TargetMode="External"/><Relationship Id="rId10" Type="http://schemas.openxmlformats.org/officeDocument/2006/relationships/hyperlink" Target="https://ec.europa.eu/energy/en/topics/renewable-energy/progress-reports" TargetMode="External"/><Relationship Id="rId31" Type="http://schemas.openxmlformats.org/officeDocument/2006/relationships/hyperlink" Target="http://ec.europa.eu/research/iscp/pdf/policy/in_roadmap_2017.pdf" TargetMode="External"/><Relationship Id="rId44" Type="http://schemas.openxmlformats.org/officeDocument/2006/relationships/hyperlink" Target="http://poet-dsm.com/liberty" TargetMode="External"/><Relationship Id="rId52" Type="http://schemas.openxmlformats.org/officeDocument/2006/relationships/hyperlink" Target="http://www.energytrendsinsider.com/2011/07/08/what-happened-at-choren/" TargetMode="External"/><Relationship Id="rId60" Type="http://schemas.openxmlformats.org/officeDocument/2006/relationships/hyperlink" Target="https://www.bbi-europe.eu/sites/default/files/sira-2017.pdf" TargetMode="External"/><Relationship Id="rId65" Type="http://schemas.openxmlformats.org/officeDocument/2006/relationships/hyperlink" Target="http://www.eib.org/" TargetMode="External"/><Relationship Id="rId73" Type="http://schemas.openxmlformats.org/officeDocument/2006/relationships/hyperlink" Target="http://www.repotec.at/index.php/95.html" TargetMode="External"/><Relationship Id="rId78" Type="http://schemas.openxmlformats.org/officeDocument/2006/relationships/hyperlink" Target="http://gogreengas.com/" TargetMode="External"/><Relationship Id="rId81" Type="http://schemas.openxmlformats.org/officeDocument/2006/relationships/hyperlink" Target="http://www.progressive-energy.com/" TargetMode="External"/><Relationship Id="rId86" Type="http://schemas.openxmlformats.org/officeDocument/2006/relationships/hyperlink" Target="https://www.kit.edu/english" TargetMode="External"/><Relationship Id="rId94" Type="http://schemas.openxmlformats.org/officeDocument/2006/relationships/hyperlink" Target="https://www.neste.com/en/companies/products/renewable-fuels" TargetMode="External"/><Relationship Id="rId99" Type="http://schemas.openxmlformats.org/officeDocument/2006/relationships/hyperlink" Target="https://www.total.com/sites/default/files/atoms/files/annexes-plan-raffinage-mede-en.pdf" TargetMode="External"/><Relationship Id="rId101" Type="http://schemas.openxmlformats.org/officeDocument/2006/relationships/hyperlink" Target="https://www.iocl.com/" TargetMode="External"/><Relationship Id="rId122" Type="http://schemas.openxmlformats.org/officeDocument/2006/relationships/hyperlink" Target="http://www.st1.eu/" TargetMode="External"/><Relationship Id="rId130" Type="http://schemas.openxmlformats.org/officeDocument/2006/relationships/hyperlink" Target="http://www.indiaglycols.com/" TargetMode="External"/><Relationship Id="rId135" Type="http://schemas.openxmlformats.org/officeDocument/2006/relationships/hyperlink" Target="http://diprpunjab.gov.in/?q=content/punjab-govt-signs-mou-ioc-setting-bio-gas-bio-cng-plants" TargetMode="External"/><Relationship Id="rId143" Type="http://schemas.openxmlformats.org/officeDocument/2006/relationships/hyperlink" Target="http://powermin.nic.in/en/content/power-sector-glance-all-india" TargetMode="External"/><Relationship Id="rId4" Type="http://schemas.openxmlformats.org/officeDocument/2006/relationships/hyperlink" Target="http://www.re-cord.org" TargetMode="External"/><Relationship Id="rId9" Type="http://schemas.openxmlformats.org/officeDocument/2006/relationships/hyperlink" Target="https://ec.europa.eu/energy/en/topics/renewable-energy/biofuels/voluntary-schemes" TargetMode="External"/><Relationship Id="rId13" Type="http://schemas.openxmlformats.org/officeDocument/2006/relationships/hyperlink" Target="https://www.theicct.org/sites/default/files/publications/RED%20II_ICCT_Policy-Update_vF_jan2017.pdf" TargetMode="External"/><Relationship Id="rId18" Type="http://schemas.openxmlformats.org/officeDocument/2006/relationships/hyperlink" Target="https://mnre.gov.in/biofuels" TargetMode="External"/><Relationship Id="rId39" Type="http://schemas.openxmlformats.org/officeDocument/2006/relationships/hyperlink" Target="https://cordis.europa.eu/guidance/archive_en" TargetMode="External"/><Relationship Id="rId109" Type="http://schemas.openxmlformats.org/officeDocument/2006/relationships/hyperlink" Target="http://www.cometha.eu/" TargetMode="External"/><Relationship Id="rId34" Type="http://schemas.openxmlformats.org/officeDocument/2006/relationships/hyperlink" Target="https://www.neste.com/" TargetMode="External"/><Relationship Id="rId50" Type="http://schemas.openxmlformats.org/officeDocument/2006/relationships/hyperlink" Target="https://cordis.europa.eu/project/rcn/90314_en.html" TargetMode="External"/><Relationship Id="rId55" Type="http://schemas.openxmlformats.org/officeDocument/2006/relationships/hyperlink" Target="http://ec.europa.eu/research/participants/data/ref/h2020/wp/2014_2015/main/h2020-wp1415-energy_en.pdf" TargetMode="External"/><Relationship Id="rId76" Type="http://schemas.openxmlformats.org/officeDocument/2006/relationships/hyperlink" Target="https://www.thyssenkrupp-industrial-solutions.com/en/products-and-services/chemical-plants-and-processes/gasification/" TargetMode="External"/><Relationship Id="rId97" Type="http://schemas.openxmlformats.org/officeDocument/2006/relationships/hyperlink" Target="http://www.upmbiofuels.com/upm-biofuels/biorefinery/Pages/Default.aspx" TargetMode="External"/><Relationship Id="rId104" Type="http://schemas.openxmlformats.org/officeDocument/2006/relationships/hyperlink" Target="http://www.etipbioenergy.eu/images/EBTP-SRIA-2016.pdf" TargetMode="External"/><Relationship Id="rId120" Type="http://schemas.openxmlformats.org/officeDocument/2006/relationships/hyperlink" Target="http://www.inbicon.com/en/global-solutions/danish-projects" TargetMode="External"/><Relationship Id="rId125" Type="http://schemas.openxmlformats.org/officeDocument/2006/relationships/hyperlink" Target="http://www.ifpenergiesnouvelles.com/Research-themes/New-energies/Biofuel-production" TargetMode="External"/><Relationship Id="rId141" Type="http://schemas.openxmlformats.org/officeDocument/2006/relationships/hyperlink" Target="http://www.all-gas.eu/en/" TargetMode="External"/><Relationship Id="rId7" Type="http://schemas.openxmlformats.org/officeDocument/2006/relationships/hyperlink" Target="https://eur-lex.europa.eu/legal-content/EN/TXT/HTML/?uri=LEGISSUM:l27018&amp;from=EN" TargetMode="External"/><Relationship Id="rId71" Type="http://schemas.openxmlformats.org/officeDocument/2006/relationships/hyperlink" Target="http://www.etipbioenergy.eu/images/EBTP-SRIA-2016.pdf" TargetMode="External"/><Relationship Id="rId92" Type="http://schemas.openxmlformats.org/officeDocument/2006/relationships/hyperlink" Target="https://www.cricatalyst.com/" TargetMode="External"/><Relationship Id="rId2" Type="http://schemas.openxmlformats.org/officeDocument/2006/relationships/hyperlink" Target="http://petroleum.nic.in/" TargetMode="External"/><Relationship Id="rId29" Type="http://schemas.openxmlformats.org/officeDocument/2006/relationships/hyperlink" Target="http://ec.europa.eu/research/iscp/pdf/policy/india-review-brochure.pdf" TargetMode="External"/><Relationship Id="rId24" Type="http://schemas.openxmlformats.org/officeDocument/2006/relationships/hyperlink" Target="https://ec.europa.eu/energy/sites/ener/files/documents/20120210_joint_declaration_eu_india.pdf" TargetMode="External"/><Relationship Id="rId40" Type="http://schemas.openxmlformats.org/officeDocument/2006/relationships/hyperlink" Target="https://cordis.europa.eu/projects/result_en?q=%28contenttype%3D%27project%27%20OR%20/result/relations/categories/resultCategory/code%3D%27brief%27%2C%27report%27%29%20AND%20programme/pga%3D%27H2020-EU.3.3.%2A%27" TargetMode="External"/><Relationship Id="rId45" Type="http://schemas.openxmlformats.org/officeDocument/2006/relationships/hyperlink" Target="https://poet.com/biofuel" TargetMode="External"/><Relationship Id="rId66" Type="http://schemas.openxmlformats.org/officeDocument/2006/relationships/hyperlink" Target="http://www.eif.org/" TargetMode="External"/><Relationship Id="rId87" Type="http://schemas.openxmlformats.org/officeDocument/2006/relationships/hyperlink" Target="https://www.bioliq.de/english/index.php" TargetMode="External"/><Relationship Id="rId110" Type="http://schemas.openxmlformats.org/officeDocument/2006/relationships/hyperlink" Target="http://www.biorefly.eu/" TargetMode="External"/><Relationship Id="rId115" Type="http://schemas.openxmlformats.org/officeDocument/2006/relationships/hyperlink" Target="http://www.hpj.com/ag_news/hugoton-cellulosic-ethanol-plant-sold-out-of-bankruptcy/article_ae8fb952-c85f-11e6-87dc-0b12cf1982e3.html" TargetMode="External"/><Relationship Id="rId131" Type="http://schemas.openxmlformats.org/officeDocument/2006/relationships/hyperlink" Target="http://www.fipi.org.in/attachments/11_May_16/Session%20IV/2_SR%20SONI.pdf" TargetMode="External"/><Relationship Id="rId136" Type="http://schemas.openxmlformats.org/officeDocument/2006/relationships/hyperlink" Target="https://pmc.gov.in/en/noble-exchange" TargetMode="External"/><Relationship Id="rId61" Type="http://schemas.openxmlformats.org/officeDocument/2006/relationships/hyperlink" Target="https://www.bbi-europe.eu/projects" TargetMode="External"/><Relationship Id="rId82" Type="http://schemas.openxmlformats.org/officeDocument/2006/relationships/hyperlink" Target="http://www.carbotech.info/en/" TargetMode="External"/><Relationship Id="rId19" Type="http://schemas.openxmlformats.org/officeDocument/2006/relationships/hyperlink" Target="https://mnre.gov.in/sites/default/files/uploads/biofuel_policy_0.pdf" TargetMode="External"/><Relationship Id="rId14" Type="http://schemas.openxmlformats.org/officeDocument/2006/relationships/hyperlink" Target="http://164.100.47.194/Loksabha/Debates/Result13.aspx?dbsl=1225" TargetMode="External"/><Relationship Id="rId30" Type="http://schemas.openxmlformats.org/officeDocument/2006/relationships/hyperlink" Target="http://ec.europa.eu/research/iscp/pdf/policy/india_agreement.pdf" TargetMode="External"/><Relationship Id="rId35" Type="http://schemas.openxmlformats.org/officeDocument/2006/relationships/hyperlink" Target="https://www.iocl.com/" TargetMode="External"/><Relationship Id="rId56" Type="http://schemas.openxmlformats.org/officeDocument/2006/relationships/hyperlink" Target="http://ec.europa.eu/research/participants/data/ref/h2020/wp/2016_2017/main/h2020-wp1617-energy_en.pdf" TargetMode="External"/><Relationship Id="rId77" Type="http://schemas.openxmlformats.org/officeDocument/2006/relationships/hyperlink" Target="https://www.axens.net" TargetMode="External"/><Relationship Id="rId100" Type="http://schemas.openxmlformats.org/officeDocument/2006/relationships/hyperlink" Target="https://www.axens.net/our-offer/by-market/oil-refining/top-of-the-barrel/33/diesel-hydrotreating.html" TargetMode="External"/><Relationship Id="rId105" Type="http://schemas.openxmlformats.org/officeDocument/2006/relationships/hyperlink" Target="http://www.betarenewables.com/en" TargetMode="External"/><Relationship Id="rId126" Type="http://schemas.openxmlformats.org/officeDocument/2006/relationships/hyperlink" Target="https://www.projetfuturol.com/"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Exergia colors">
      <a:dk1>
        <a:srgbClr val="000000"/>
      </a:dk1>
      <a:lt1>
        <a:srgbClr val="EFF2F5"/>
      </a:lt1>
      <a:dk2>
        <a:srgbClr val="C1E6FF"/>
      </a:dk2>
      <a:lt2>
        <a:srgbClr val="FFFFFF"/>
      </a:lt2>
      <a:accent1>
        <a:srgbClr val="166CED"/>
      </a:accent1>
      <a:accent2>
        <a:srgbClr val="01458E"/>
      </a:accent2>
      <a:accent3>
        <a:srgbClr val="665E5A"/>
      </a:accent3>
      <a:accent4>
        <a:srgbClr val="900000"/>
      </a:accent4>
      <a:accent5>
        <a:srgbClr val="FFD966"/>
      </a:accent5>
      <a:accent6>
        <a:srgbClr val="92D050"/>
      </a:accent6>
      <a:hlink>
        <a:srgbClr val="0000FF"/>
      </a:hlink>
      <a:folHlink>
        <a:srgbClr val="800080"/>
      </a:folHlink>
    </a:clrScheme>
    <a:fontScheme name="exergia-fonts">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Pages>
  <Words>29539</Words>
  <Characters>159511</Characters>
  <Application>Microsoft Office Word</Application>
  <DocSecurity>4</DocSecurity>
  <Lines>1329</Lines>
  <Paragraphs>377</Paragraphs>
  <ScaleCrop>false</ScaleCrop>
  <HeadingPairs>
    <vt:vector size="2" baseType="variant">
      <vt:variant>
        <vt:lpstr>Title</vt:lpstr>
      </vt:variant>
      <vt:variant>
        <vt:i4>1</vt:i4>
      </vt:variant>
    </vt:vector>
  </HeadingPairs>
  <TitlesOfParts>
    <vt:vector size="1" baseType="lpstr">
      <vt:lpstr>
  </vt:lpstr>
    </vt:vector>
  </TitlesOfParts>
  <Company>
  </Company>
  <LinksUpToDate>false</LinksUpToDate>
  <CharactersWithSpaces>188673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creator>Despina Tzoulaki</dc:creator>
  <cp:lastModifiedBy>Despina Tzoulaki</cp:lastModifiedBy>
  <cp:revision>2</cp:revision>
  <dcterms:created xsi:type="dcterms:W3CDTF">2018-06-13T07:44:00Z</dcterms:created>
  <dcterms:modified xsi:type="dcterms:W3CDTF">2018-06-13T07:44:00Z</dcterms:modified>
</cp:coreProperties>
</file>